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9823" w14:textId="77777777" w:rsidR="00251A50" w:rsidRDefault="00251A50" w:rsidP="00A96071">
      <w:pPr>
        <w:spacing w:after="0"/>
        <w:ind w:left="5040" w:firstLine="720"/>
      </w:pPr>
      <w:r>
        <w:t>Benjamin Stenson</w:t>
      </w:r>
    </w:p>
    <w:p w14:paraId="75163175" w14:textId="77777777" w:rsidR="00251A50" w:rsidRDefault="00251A50" w:rsidP="00A96071">
      <w:pPr>
        <w:spacing w:after="0"/>
        <w:ind w:left="5040" w:firstLine="720"/>
      </w:pPr>
      <w:r>
        <w:t>Consultant Neonatologist</w:t>
      </w:r>
    </w:p>
    <w:p w14:paraId="6F743EEE" w14:textId="77777777" w:rsidR="00251A50" w:rsidRDefault="00251A50" w:rsidP="00A96071">
      <w:pPr>
        <w:spacing w:after="0"/>
        <w:ind w:left="5760"/>
      </w:pPr>
      <w:r>
        <w:t>Royal Infirmary of Edinburgh</w:t>
      </w:r>
    </w:p>
    <w:p w14:paraId="599F10BE" w14:textId="77777777" w:rsidR="00A96071" w:rsidRDefault="00A96071" w:rsidP="00A96071">
      <w:pPr>
        <w:spacing w:after="0"/>
        <w:ind w:left="5040" w:firstLine="720"/>
      </w:pPr>
      <w:r>
        <w:t>3.11.2021</w:t>
      </w:r>
    </w:p>
    <w:p w14:paraId="46523299" w14:textId="77777777" w:rsidR="00A96071" w:rsidRDefault="00A96071"/>
    <w:p w14:paraId="5A6BEECC" w14:textId="77777777" w:rsidR="004765A0" w:rsidRDefault="0084589A">
      <w:r>
        <w:t>Dear colleagues,</w:t>
      </w:r>
    </w:p>
    <w:p w14:paraId="79B4F26E" w14:textId="77777777" w:rsidR="00175DFD" w:rsidRPr="00175DFD" w:rsidRDefault="00175DFD">
      <w:pPr>
        <w:rPr>
          <w:b/>
        </w:rPr>
      </w:pPr>
      <w:r w:rsidRPr="00175DFD">
        <w:rPr>
          <w:b/>
        </w:rPr>
        <w:t>T-piece device pressure overshoot</w:t>
      </w:r>
    </w:p>
    <w:p w14:paraId="2DC55C80" w14:textId="77777777" w:rsidR="0084589A" w:rsidRDefault="00175DFD">
      <w:r>
        <w:t>In a</w:t>
      </w:r>
      <w:r w:rsidR="0084589A">
        <w:t xml:space="preserve"> paper published in the January issue of Archives of Disease in Childhood Fetal</w:t>
      </w:r>
      <w:r>
        <w:t xml:space="preserve"> and Neonatal Edition, </w:t>
      </w:r>
      <w:r w:rsidR="0084589A">
        <w:t>Hinder and colleagues provided bench test data on the performance of newborn T-piece resuscitators</w:t>
      </w:r>
      <w:r w:rsidR="007B637F">
        <w:t xml:space="preserve"> (GE Panda, Drager Resuscitaire and Fisher and Paykel Neopu</w:t>
      </w:r>
      <w:r w:rsidR="009B5D7D">
        <w:t>ff)</w:t>
      </w:r>
      <w:r w:rsidR="0084589A">
        <w:t xml:space="preserve"> </w:t>
      </w:r>
      <w:r w:rsidR="0084589A" w:rsidRPr="009B5D7D">
        <w:rPr>
          <w:vertAlign w:val="superscript"/>
        </w:rPr>
        <w:t>1</w:t>
      </w:r>
      <w:r w:rsidR="0084589A">
        <w:t>. They simulated a small low compliance newborn lung, as may be present in an extremely preterm infant at birth</w:t>
      </w:r>
      <w:r w:rsidR="007B637F">
        <w:t xml:space="preserve">. They found that two of the devices </w:t>
      </w:r>
      <w:r w:rsidR="00A96071">
        <w:t xml:space="preserve">in their study </w:t>
      </w:r>
      <w:r w:rsidR="007B637F">
        <w:t xml:space="preserve">(GE Panda and Draeger Resuscitaire) </w:t>
      </w:r>
      <w:r w:rsidR="00A96071">
        <w:t>had a</w:t>
      </w:r>
      <w:r w:rsidR="007B637F">
        <w:t xml:space="preserve"> pressure limiting system that allowed a brief spike in inflation pressure to be generated at the start of inflation </w:t>
      </w:r>
      <w:proofErr w:type="gramStart"/>
      <w:r w:rsidR="007B637F">
        <w:t>that  was</w:t>
      </w:r>
      <w:proofErr w:type="gramEnd"/>
      <w:r w:rsidR="007B637F">
        <w:t xml:space="preserve"> well in excess of the set inflation pressure. In their simulation the pressure spike produced a spike of flow and volume. They were unable to comment on the clinical significance of the observation. </w:t>
      </w:r>
      <w:r>
        <w:t xml:space="preserve"> They did not demonstrate an overshoot in pressure</w:t>
      </w:r>
      <w:r w:rsidR="00A96071">
        <w:t>, flow or volume</w:t>
      </w:r>
      <w:r>
        <w:t xml:space="preserve"> with the Neopuff. </w:t>
      </w:r>
      <w:r w:rsidR="007B637F">
        <w:t>Their paper included a single clinical example of data from the stabilisation of a 28 week gestation preterm infant with birthweight 750g, where large pressure, flow and volume spikes were apparent</w:t>
      </w:r>
      <w:r>
        <w:t xml:space="preserve"> on a Phillips NM3 respiratory monitor</w:t>
      </w:r>
      <w:r w:rsidR="007B637F">
        <w:t>.</w:t>
      </w:r>
    </w:p>
    <w:p w14:paraId="077A5BC4" w14:textId="77777777" w:rsidR="00A87DB2" w:rsidRDefault="00A87DB2">
      <w:r>
        <w:t>The clinical significance of the</w:t>
      </w:r>
      <w:r w:rsidR="00A96071">
        <w:t>ir</w:t>
      </w:r>
      <w:r>
        <w:t xml:space="preserve"> finding was questioned in a letter to the editors by Katie Hunt and colleagues</w:t>
      </w:r>
      <w:r w:rsidRPr="00A87DB2">
        <w:rPr>
          <w:vertAlign w:val="superscript"/>
        </w:rPr>
        <w:t>2</w:t>
      </w:r>
      <w:r>
        <w:t xml:space="preserve">. They felt that the observation was explained by lack of inertia in the test lung and would not be translated into an overshoot in tidal volume in a fluid-filled </w:t>
      </w:r>
      <w:r w:rsidR="00A96071">
        <w:t xml:space="preserve">newborn lung. However they did not discuss </w:t>
      </w:r>
      <w:r>
        <w:t>the clinical example in the paper where a volume effect was demonstrated during resuscitation of a 750g infant.</w:t>
      </w:r>
    </w:p>
    <w:p w14:paraId="7C1F29B1" w14:textId="77777777" w:rsidR="007B637F" w:rsidRDefault="007B637F">
      <w:r>
        <w:t xml:space="preserve">In </w:t>
      </w:r>
      <w:r w:rsidR="00A96071">
        <w:t>the Royal Infirmary of</w:t>
      </w:r>
      <w:r>
        <w:t xml:space="preserve"> Edinburgh we have GE Panda res</w:t>
      </w:r>
      <w:r w:rsidR="00175DFD">
        <w:t xml:space="preserve">uscitaires and we also </w:t>
      </w:r>
      <w:proofErr w:type="gramStart"/>
      <w:r w:rsidR="00175DFD">
        <w:t>have  F</w:t>
      </w:r>
      <w:r>
        <w:t>isher</w:t>
      </w:r>
      <w:proofErr w:type="gramEnd"/>
      <w:r>
        <w:t xml:space="preserve"> and </w:t>
      </w:r>
      <w:proofErr w:type="spellStart"/>
      <w:r>
        <w:t>Paykell</w:t>
      </w:r>
      <w:proofErr w:type="spellEnd"/>
      <w:r>
        <w:t xml:space="preserve"> </w:t>
      </w:r>
      <w:proofErr w:type="spellStart"/>
      <w:r>
        <w:t>Neopuffs</w:t>
      </w:r>
      <w:proofErr w:type="spellEnd"/>
      <w:r>
        <w:t xml:space="preserve">. </w:t>
      </w:r>
      <w:r w:rsidR="00A96071">
        <w:t>We replicated the above</w:t>
      </w:r>
      <w:r>
        <w:t xml:space="preserve"> study</w:t>
      </w:r>
      <w:r w:rsidR="00A96071">
        <w:t>,</w:t>
      </w:r>
      <w:r>
        <w:t xml:space="preserve"> making the measurements </w:t>
      </w:r>
      <w:proofErr w:type="gramStart"/>
      <w:r>
        <w:t>wi</w:t>
      </w:r>
      <w:r w:rsidR="00175DFD">
        <w:t>th  a</w:t>
      </w:r>
      <w:proofErr w:type="gramEnd"/>
      <w:r w:rsidR="00175DFD">
        <w:t xml:space="preserve"> Phillips NM3 r</w:t>
      </w:r>
      <w:r>
        <w:t>espiratory monitor similar to the one used by Hi</w:t>
      </w:r>
      <w:r w:rsidR="00251A50">
        <w:t>n</w:t>
      </w:r>
      <w:r>
        <w:t>der and colleagues to generate their clinical example.</w:t>
      </w:r>
    </w:p>
    <w:p w14:paraId="528F740B" w14:textId="77777777" w:rsidR="007B637F" w:rsidRDefault="007B637F">
      <w:r>
        <w:t xml:space="preserve">We found that at all </w:t>
      </w:r>
      <w:r w:rsidR="00251A50">
        <w:t>cli</w:t>
      </w:r>
      <w:r w:rsidR="00175DFD">
        <w:t xml:space="preserve">nically </w:t>
      </w:r>
      <w:r>
        <w:t xml:space="preserve">feasible combinations of flow and set inflation pressure, the T-piece system on the GE Panda produced a pressure spike </w:t>
      </w:r>
      <w:r w:rsidR="00175DFD">
        <w:t>greatly in excess of the set inflation pressure</w:t>
      </w:r>
      <w:r w:rsidR="000276BA">
        <w:t>. The figure below shows the pressure spike to 39cmH</w:t>
      </w:r>
      <w:r w:rsidR="000276BA" w:rsidRPr="000276BA">
        <w:rPr>
          <w:vertAlign w:val="subscript"/>
        </w:rPr>
        <w:t>2</w:t>
      </w:r>
      <w:r w:rsidR="000276BA">
        <w:t>0 when the dial was set to deliver an inflation pressure of 30cmH</w:t>
      </w:r>
      <w:r w:rsidR="000276BA" w:rsidRPr="000276BA">
        <w:rPr>
          <w:vertAlign w:val="subscript"/>
        </w:rPr>
        <w:t>2</w:t>
      </w:r>
      <w:r w:rsidR="000276BA">
        <w:t>0</w:t>
      </w:r>
      <w:r w:rsidR="00175DFD">
        <w:t>. There was no difference between set and delivered pressure with the Neopuff.</w:t>
      </w:r>
    </w:p>
    <w:p w14:paraId="6463B6DD" w14:textId="77777777" w:rsidR="00175DFD" w:rsidRDefault="000276BA">
      <w:r w:rsidRPr="000276BA">
        <w:rPr>
          <w:noProof/>
        </w:rPr>
        <w:lastRenderedPageBreak/>
        <w:drawing>
          <wp:inline distT="0" distB="0" distL="0" distR="0" wp14:anchorId="6FB79893" wp14:editId="71653629">
            <wp:extent cx="3552966" cy="2664725"/>
            <wp:effectExtent l="0" t="438150" r="0" b="421375"/>
            <wp:docPr id="2" name="Picture 1" descr="thumbnail_IMG_3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_30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50316" cy="266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B3990" w14:textId="77777777" w:rsidR="00175DFD" w:rsidRDefault="000276BA">
      <w:r>
        <w:t>We recorded the peak pressure delivered by the Panda and Neopuff over a range set inflation pressures. The results are in the table below.</w:t>
      </w:r>
    </w:p>
    <w:p w14:paraId="0C8C3E21" w14:textId="77777777" w:rsidR="000276BA" w:rsidRDefault="000276BA" w:rsidP="000276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</w:tblGrid>
      <w:tr w:rsidR="00A87DB2" w14:paraId="33736F3F" w14:textId="77777777" w:rsidTr="00F12E61">
        <w:tc>
          <w:tcPr>
            <w:tcW w:w="1320" w:type="dxa"/>
          </w:tcPr>
          <w:p w14:paraId="7B383247" w14:textId="77777777" w:rsidR="00A87DB2" w:rsidRPr="00403E8F" w:rsidRDefault="00A87DB2" w:rsidP="00F12E61">
            <w:pPr>
              <w:rPr>
                <w:b/>
              </w:rPr>
            </w:pPr>
            <w:r>
              <w:rPr>
                <w:b/>
              </w:rPr>
              <w:t>Set PIP</w:t>
            </w:r>
          </w:p>
        </w:tc>
        <w:tc>
          <w:tcPr>
            <w:tcW w:w="1320" w:type="dxa"/>
          </w:tcPr>
          <w:p w14:paraId="35EDDA22" w14:textId="77777777" w:rsidR="00A87DB2" w:rsidRPr="00403E8F" w:rsidRDefault="00A87DB2" w:rsidP="00F12E61">
            <w:pPr>
              <w:rPr>
                <w:b/>
              </w:rPr>
            </w:pPr>
            <w:r>
              <w:rPr>
                <w:b/>
              </w:rPr>
              <w:t>Neopuff delivered pressure</w:t>
            </w:r>
          </w:p>
        </w:tc>
        <w:tc>
          <w:tcPr>
            <w:tcW w:w="1320" w:type="dxa"/>
          </w:tcPr>
          <w:p w14:paraId="00D62C70" w14:textId="77777777" w:rsidR="00A87DB2" w:rsidRPr="00403E8F" w:rsidRDefault="00A87DB2" w:rsidP="00F12E61">
            <w:pPr>
              <w:rPr>
                <w:b/>
              </w:rPr>
            </w:pPr>
            <w:r>
              <w:rPr>
                <w:b/>
              </w:rPr>
              <w:t>GE Panda delivered pressure</w:t>
            </w:r>
          </w:p>
        </w:tc>
      </w:tr>
      <w:tr w:rsidR="00A87DB2" w14:paraId="2BA8203B" w14:textId="77777777" w:rsidTr="00F12E61">
        <w:tc>
          <w:tcPr>
            <w:tcW w:w="1320" w:type="dxa"/>
          </w:tcPr>
          <w:p w14:paraId="6E7FA451" w14:textId="77777777" w:rsidR="00A87DB2" w:rsidRPr="00403E8F" w:rsidRDefault="00A87DB2" w:rsidP="00F12E6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20" w:type="dxa"/>
          </w:tcPr>
          <w:p w14:paraId="31CFBA5D" w14:textId="77777777" w:rsidR="00A87DB2" w:rsidRDefault="00A87DB2" w:rsidP="00F12E61">
            <w:r>
              <w:t>15</w:t>
            </w:r>
          </w:p>
        </w:tc>
        <w:tc>
          <w:tcPr>
            <w:tcW w:w="1320" w:type="dxa"/>
          </w:tcPr>
          <w:p w14:paraId="092D587B" w14:textId="77777777" w:rsidR="00A87DB2" w:rsidRDefault="00A87DB2" w:rsidP="00F12E61">
            <w:r>
              <w:t>21</w:t>
            </w:r>
          </w:p>
        </w:tc>
      </w:tr>
      <w:tr w:rsidR="00A87DB2" w14:paraId="31A20DE0" w14:textId="77777777" w:rsidTr="00F12E61">
        <w:tc>
          <w:tcPr>
            <w:tcW w:w="1320" w:type="dxa"/>
          </w:tcPr>
          <w:p w14:paraId="6BE93E17" w14:textId="77777777" w:rsidR="00A87DB2" w:rsidRPr="00403E8F" w:rsidRDefault="00A87DB2" w:rsidP="00F12E6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20" w:type="dxa"/>
          </w:tcPr>
          <w:p w14:paraId="6DFFDD35" w14:textId="77777777" w:rsidR="00A87DB2" w:rsidRDefault="00A87DB2" w:rsidP="00F12E61">
            <w:r>
              <w:t>20</w:t>
            </w:r>
          </w:p>
        </w:tc>
        <w:tc>
          <w:tcPr>
            <w:tcW w:w="1320" w:type="dxa"/>
          </w:tcPr>
          <w:p w14:paraId="0BD626FA" w14:textId="77777777" w:rsidR="00A87DB2" w:rsidRDefault="00A87DB2" w:rsidP="00F12E61">
            <w:r>
              <w:t>27</w:t>
            </w:r>
          </w:p>
        </w:tc>
      </w:tr>
      <w:tr w:rsidR="00A87DB2" w14:paraId="14E8E305" w14:textId="77777777" w:rsidTr="00F12E61">
        <w:tc>
          <w:tcPr>
            <w:tcW w:w="1320" w:type="dxa"/>
          </w:tcPr>
          <w:p w14:paraId="30FB2809" w14:textId="77777777" w:rsidR="00A87DB2" w:rsidRPr="00403E8F" w:rsidRDefault="00A87DB2" w:rsidP="00F12E6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20" w:type="dxa"/>
          </w:tcPr>
          <w:p w14:paraId="2E3BBD0F" w14:textId="77777777" w:rsidR="00A87DB2" w:rsidRDefault="00A87DB2" w:rsidP="00F12E61">
            <w:r>
              <w:t>25</w:t>
            </w:r>
          </w:p>
        </w:tc>
        <w:tc>
          <w:tcPr>
            <w:tcW w:w="1320" w:type="dxa"/>
          </w:tcPr>
          <w:p w14:paraId="44D0AF7B" w14:textId="77777777" w:rsidR="00A87DB2" w:rsidRDefault="00A87DB2" w:rsidP="00F12E61">
            <w:r>
              <w:t>32</w:t>
            </w:r>
          </w:p>
        </w:tc>
      </w:tr>
      <w:tr w:rsidR="00A87DB2" w14:paraId="3D5691FF" w14:textId="77777777" w:rsidTr="00F12E61">
        <w:tc>
          <w:tcPr>
            <w:tcW w:w="1320" w:type="dxa"/>
          </w:tcPr>
          <w:p w14:paraId="4559E86B" w14:textId="77777777" w:rsidR="00A87DB2" w:rsidRPr="00403E8F" w:rsidRDefault="00A87DB2" w:rsidP="00F12E6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20" w:type="dxa"/>
          </w:tcPr>
          <w:p w14:paraId="25363427" w14:textId="77777777" w:rsidR="00A87DB2" w:rsidRDefault="00A87DB2" w:rsidP="00F12E61">
            <w:r>
              <w:t>30</w:t>
            </w:r>
          </w:p>
        </w:tc>
        <w:tc>
          <w:tcPr>
            <w:tcW w:w="1320" w:type="dxa"/>
          </w:tcPr>
          <w:p w14:paraId="2B7B897F" w14:textId="77777777" w:rsidR="00A87DB2" w:rsidRDefault="00A87DB2" w:rsidP="00F12E61">
            <w:r>
              <w:t>39</w:t>
            </w:r>
          </w:p>
        </w:tc>
      </w:tr>
      <w:tr w:rsidR="00A87DB2" w14:paraId="1D95A77C" w14:textId="77777777" w:rsidTr="00F12E61">
        <w:tc>
          <w:tcPr>
            <w:tcW w:w="1320" w:type="dxa"/>
          </w:tcPr>
          <w:p w14:paraId="3D2BBAB4" w14:textId="77777777" w:rsidR="00A87DB2" w:rsidRPr="00403E8F" w:rsidRDefault="00A87DB2" w:rsidP="00F12E6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20" w:type="dxa"/>
          </w:tcPr>
          <w:p w14:paraId="51A667C7" w14:textId="77777777" w:rsidR="00A87DB2" w:rsidRDefault="00A87DB2" w:rsidP="00F12E61">
            <w:r>
              <w:t>35</w:t>
            </w:r>
          </w:p>
        </w:tc>
        <w:tc>
          <w:tcPr>
            <w:tcW w:w="1320" w:type="dxa"/>
          </w:tcPr>
          <w:p w14:paraId="77E815B5" w14:textId="77777777" w:rsidR="00A87DB2" w:rsidRDefault="00A87DB2" w:rsidP="00F12E61">
            <w:r>
              <w:t>45</w:t>
            </w:r>
          </w:p>
        </w:tc>
      </w:tr>
      <w:tr w:rsidR="00A87DB2" w14:paraId="4F07B076" w14:textId="77777777" w:rsidTr="00F12E61">
        <w:tc>
          <w:tcPr>
            <w:tcW w:w="1320" w:type="dxa"/>
          </w:tcPr>
          <w:p w14:paraId="1146F4BA" w14:textId="77777777" w:rsidR="00A87DB2" w:rsidRPr="00403E8F" w:rsidRDefault="00A87DB2" w:rsidP="00F12E6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20" w:type="dxa"/>
          </w:tcPr>
          <w:p w14:paraId="6A272B48" w14:textId="77777777" w:rsidR="00A87DB2" w:rsidRDefault="00A87DB2" w:rsidP="00F12E61">
            <w:r>
              <w:t>40</w:t>
            </w:r>
          </w:p>
        </w:tc>
        <w:tc>
          <w:tcPr>
            <w:tcW w:w="1320" w:type="dxa"/>
          </w:tcPr>
          <w:p w14:paraId="7BB44D55" w14:textId="77777777" w:rsidR="00A87DB2" w:rsidRDefault="00A87DB2" w:rsidP="00F12E61">
            <w:r>
              <w:t>51</w:t>
            </w:r>
          </w:p>
        </w:tc>
      </w:tr>
    </w:tbl>
    <w:p w14:paraId="75097EFF" w14:textId="77777777" w:rsidR="000276BA" w:rsidRDefault="000276BA"/>
    <w:p w14:paraId="0859FE91" w14:textId="77777777" w:rsidR="00251A50" w:rsidRDefault="00251A50">
      <w:r>
        <w:t>We asked for feedback from GE and they sent us a documen</w:t>
      </w:r>
      <w:r w:rsidR="00A96071">
        <w:t>t detailing their own simulation</w:t>
      </w:r>
      <w:r>
        <w:t>. The data presented were limited to the delivered pressure. There was no information about flow and volume. The simulation provided by GE resulted in a delivered pressure at the airway of 25cmH20 at a set pressure of 20cmH</w:t>
      </w:r>
      <w:r w:rsidRPr="00251A50">
        <w:rPr>
          <w:vertAlign w:val="subscript"/>
        </w:rPr>
        <w:t>2</w:t>
      </w:r>
      <w:r>
        <w:t>O, as illustrated below.</w:t>
      </w:r>
      <w:r w:rsidR="00A96071">
        <w:t xml:space="preserve"> There was not much transmission of the pressure to the lungs with the resistance of the model </w:t>
      </w:r>
      <w:r w:rsidR="001564F7">
        <w:t xml:space="preserve">that </w:t>
      </w:r>
      <w:r w:rsidR="00A96071">
        <w:t>they used.</w:t>
      </w:r>
    </w:p>
    <w:p w14:paraId="7F87B2F3" w14:textId="77777777" w:rsidR="00251A50" w:rsidRDefault="00251A50">
      <w:r>
        <w:rPr>
          <w:noProof/>
          <w:lang w:eastAsia="en-GB"/>
        </w:rPr>
        <w:lastRenderedPageBreak/>
        <w:drawing>
          <wp:inline distT="0" distB="0" distL="0" distR="0" wp14:anchorId="52DBBF59" wp14:editId="5348AE4B">
            <wp:extent cx="3392890" cy="24501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05" cy="245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90FE9" w14:textId="77777777" w:rsidR="000276BA" w:rsidRDefault="00251A50">
      <w:r>
        <w:t>GE expressed a view that the high resistance to flow in the lungs of a small infant would prevent the pressure spike reaching the lungs.</w:t>
      </w:r>
    </w:p>
    <w:p w14:paraId="6F142C64" w14:textId="77777777" w:rsidR="00251A50" w:rsidRDefault="00251A50" w:rsidP="00251A50">
      <w:r>
        <w:t>Like Hinder and colleagues we are uncertain of the clinical significance of these observations</w:t>
      </w:r>
      <w:r w:rsidR="00A96071">
        <w:t>. We note th</w:t>
      </w:r>
      <w:r w:rsidR="001564F7">
        <w:t>e</w:t>
      </w:r>
      <w:r w:rsidR="00A96071">
        <w:t xml:space="preserve"> data in the clinical example they provided and</w:t>
      </w:r>
      <w:r>
        <w:t xml:space="preserve"> felt tha</w:t>
      </w:r>
      <w:r w:rsidR="00A96071">
        <w:t>t it</w:t>
      </w:r>
      <w:r w:rsidR="001564F7">
        <w:t xml:space="preserve"> was worth highlighting the issue</w:t>
      </w:r>
      <w:r>
        <w:t xml:space="preserve"> to clinical colleagues who may not have been aware of the paper.</w:t>
      </w:r>
    </w:p>
    <w:p w14:paraId="73F7F4DB" w14:textId="77777777" w:rsidR="00A96071" w:rsidRDefault="00A96071" w:rsidP="00251A50">
      <w:r>
        <w:t>Kind regards</w:t>
      </w:r>
    </w:p>
    <w:p w14:paraId="0A797192" w14:textId="77777777" w:rsidR="00A96071" w:rsidRDefault="00A96071" w:rsidP="00251A50">
      <w:r>
        <w:t>Ben Stenson</w:t>
      </w:r>
    </w:p>
    <w:p w14:paraId="700692D4" w14:textId="77777777" w:rsidR="00251A50" w:rsidRDefault="00251A50"/>
    <w:p w14:paraId="473BAFF9" w14:textId="77777777" w:rsidR="00251A50" w:rsidRDefault="00251A50"/>
    <w:p w14:paraId="57DABF18" w14:textId="77777777" w:rsidR="00175DFD" w:rsidRPr="00A87DB2" w:rsidRDefault="00175DFD" w:rsidP="00175DF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175DFD">
        <w:rPr>
          <w:rFonts w:eastAsia="Times New Roman" w:cstheme="minorHAnsi"/>
          <w:color w:val="000000" w:themeColor="text1"/>
          <w:lang w:eastAsia="en-GB"/>
        </w:rPr>
        <w:t xml:space="preserve">Hinder KM et al. </w:t>
      </w:r>
      <w:r w:rsidRPr="00175DFD"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T-piece resuscitators: can they provide safe ventilation in a low compliant newborn lung? </w:t>
      </w:r>
      <w:r w:rsidRPr="00175DFD">
        <w:rPr>
          <w:rFonts w:eastAsia="Times New Roman" w:cstheme="minorHAnsi"/>
          <w:color w:val="000000" w:themeColor="text1"/>
          <w:lang w:eastAsia="en-GB"/>
        </w:rPr>
        <w:t>Arch Dis Child Fetal Neonatal Ed. 2021 Jan;106(1):25-30.</w:t>
      </w:r>
    </w:p>
    <w:p w14:paraId="7DE1DB2D" w14:textId="77777777" w:rsidR="00A87DB2" w:rsidRPr="00A87DB2" w:rsidRDefault="00A87DB2" w:rsidP="00A87DB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87DB2">
        <w:rPr>
          <w:rFonts w:eastAsia="Times New Roman" w:cstheme="minorHAnsi"/>
          <w:color w:val="000000" w:themeColor="text1"/>
          <w:lang w:eastAsia="en-GB"/>
        </w:rPr>
        <w:t>Hunt KA et al</w:t>
      </w:r>
      <w:r>
        <w:rPr>
          <w:rFonts w:eastAsia="Times New Roman" w:cstheme="minorHAnsi"/>
          <w:color w:val="000000" w:themeColor="text1"/>
          <w:lang w:eastAsia="en-GB"/>
        </w:rPr>
        <w:t>.</w:t>
      </w:r>
      <w:r w:rsidRPr="00A87DB2">
        <w:rPr>
          <w:rFonts w:eastAsia="Times New Roman" w:cstheme="minorHAnsi"/>
          <w:i/>
          <w:iCs/>
          <w:color w:val="000000" w:themeColor="text1"/>
          <w:lang w:eastAsia="en-GB"/>
        </w:rPr>
        <w:t xml:space="preserve"> </w:t>
      </w:r>
      <w:r w:rsidRPr="00175DFD">
        <w:rPr>
          <w:rFonts w:eastAsia="Times New Roman" w:cstheme="minorHAnsi"/>
          <w:color w:val="000000" w:themeColor="text1"/>
          <w:lang w:eastAsia="en-GB"/>
        </w:rPr>
        <w:t>Arch Dis Child Fetal Neonatal Ed</w:t>
      </w:r>
      <w:r w:rsidRPr="00A87DB2">
        <w:rPr>
          <w:rFonts w:eastAsia="Times New Roman" w:cstheme="minorHAnsi"/>
          <w:i/>
          <w:iCs/>
          <w:color w:val="000000" w:themeColor="text1"/>
          <w:lang w:eastAsia="en-GB"/>
        </w:rPr>
        <w:t> </w:t>
      </w:r>
      <w:r w:rsidRPr="00A87DB2">
        <w:rPr>
          <w:rFonts w:eastAsia="Times New Roman" w:cstheme="minorHAnsi"/>
          <w:color w:val="000000" w:themeColor="text1"/>
          <w:lang w:eastAsia="en-GB"/>
        </w:rPr>
        <w:t>2020;</w:t>
      </w:r>
      <w:r w:rsidRPr="00A87DB2">
        <w:rPr>
          <w:rFonts w:eastAsia="Times New Roman" w:cstheme="minorHAnsi"/>
          <w:bCs/>
          <w:color w:val="000000" w:themeColor="text1"/>
          <w:lang w:eastAsia="en-GB"/>
        </w:rPr>
        <w:t> 106 </w:t>
      </w:r>
      <w:r w:rsidRPr="00A87DB2">
        <w:rPr>
          <w:rFonts w:eastAsia="Times New Roman" w:cstheme="minorHAnsi"/>
          <w:color w:val="000000" w:themeColor="text1"/>
          <w:lang w:eastAsia="en-GB"/>
        </w:rPr>
        <w:t>110-110 Published Online First: 12 Aug 2020. </w:t>
      </w:r>
      <w:proofErr w:type="spellStart"/>
      <w:r w:rsidRPr="00A87DB2">
        <w:rPr>
          <w:rFonts w:eastAsia="Times New Roman" w:cstheme="minorHAnsi"/>
          <w:color w:val="000000" w:themeColor="text1"/>
          <w:lang w:eastAsia="en-GB"/>
        </w:rPr>
        <w:t>doi</w:t>
      </w:r>
      <w:proofErr w:type="spellEnd"/>
      <w:r w:rsidRPr="00A87DB2">
        <w:rPr>
          <w:rFonts w:eastAsia="Times New Roman" w:cstheme="minorHAnsi"/>
          <w:color w:val="000000" w:themeColor="text1"/>
          <w:lang w:eastAsia="en-GB"/>
        </w:rPr>
        <w:t>: 10.1136/archdischild-2020-320205</w:t>
      </w:r>
    </w:p>
    <w:p w14:paraId="5CA236EC" w14:textId="77777777" w:rsidR="00A87DB2" w:rsidRPr="00A87DB2" w:rsidRDefault="00A87DB2" w:rsidP="00A87DB2">
      <w:p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p w14:paraId="5621D306" w14:textId="77777777" w:rsidR="00175DFD" w:rsidRDefault="00175DFD"/>
    <w:p w14:paraId="6AA97E78" w14:textId="77777777" w:rsidR="009B5D7D" w:rsidRDefault="009B5D7D"/>
    <w:p w14:paraId="0365B403" w14:textId="77777777" w:rsidR="009B5D7D" w:rsidRPr="009B5D7D" w:rsidRDefault="009B5D7D" w:rsidP="009B5D7D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sz w:val="18"/>
          <w:szCs w:val="18"/>
        </w:rPr>
      </w:pPr>
    </w:p>
    <w:sectPr w:rsidR="009B5D7D" w:rsidRPr="009B5D7D" w:rsidSect="00187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Pro-Condensed">
    <w:altName w:val="Arial"/>
    <w:panose1 w:val="020B0604020202020204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5369E"/>
    <w:multiLevelType w:val="hybridMultilevel"/>
    <w:tmpl w:val="5D5AC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24C25"/>
    <w:multiLevelType w:val="hybridMultilevel"/>
    <w:tmpl w:val="6EF0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F3D7B"/>
    <w:multiLevelType w:val="multilevel"/>
    <w:tmpl w:val="A6E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9A"/>
    <w:rsid w:val="000276BA"/>
    <w:rsid w:val="001564F7"/>
    <w:rsid w:val="00175DFD"/>
    <w:rsid w:val="00187CDB"/>
    <w:rsid w:val="00251A50"/>
    <w:rsid w:val="003B2A20"/>
    <w:rsid w:val="007B637F"/>
    <w:rsid w:val="0084589A"/>
    <w:rsid w:val="009B5D7D"/>
    <w:rsid w:val="00A87DB2"/>
    <w:rsid w:val="00A96071"/>
    <w:rsid w:val="00AD4846"/>
    <w:rsid w:val="00B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52D7"/>
  <w15:docId w15:val="{B130E390-B549-D64A-9215-E9D1D39A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CDB"/>
  </w:style>
  <w:style w:type="paragraph" w:styleId="Heading1">
    <w:name w:val="heading 1"/>
    <w:basedOn w:val="Normal"/>
    <w:link w:val="Heading1Char"/>
    <w:uiPriority w:val="9"/>
    <w:qFormat/>
    <w:rsid w:val="00175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75DFD"/>
    <w:rPr>
      <w:color w:val="0000FF"/>
      <w:u w:val="single"/>
    </w:rPr>
  </w:style>
  <w:style w:type="character" w:customStyle="1" w:styleId="period">
    <w:name w:val="period"/>
    <w:basedOn w:val="DefaultParagraphFont"/>
    <w:rsid w:val="00175DFD"/>
  </w:style>
  <w:style w:type="character" w:customStyle="1" w:styleId="cit">
    <w:name w:val="cit"/>
    <w:basedOn w:val="DefaultParagraphFont"/>
    <w:rsid w:val="00175DFD"/>
  </w:style>
  <w:style w:type="character" w:customStyle="1" w:styleId="citation-doi">
    <w:name w:val="citation-doi"/>
    <w:basedOn w:val="DefaultParagraphFont"/>
    <w:rsid w:val="00175DFD"/>
  </w:style>
  <w:style w:type="character" w:customStyle="1" w:styleId="secondary-date">
    <w:name w:val="secondary-date"/>
    <w:basedOn w:val="DefaultParagraphFont"/>
    <w:rsid w:val="00175DFD"/>
  </w:style>
  <w:style w:type="character" w:customStyle="1" w:styleId="authors-list-item">
    <w:name w:val="authors-list-item"/>
    <w:basedOn w:val="DefaultParagraphFont"/>
    <w:rsid w:val="00175DFD"/>
  </w:style>
  <w:style w:type="character" w:customStyle="1" w:styleId="author-sup-separator">
    <w:name w:val="author-sup-separator"/>
    <w:basedOn w:val="DefaultParagraphFont"/>
    <w:rsid w:val="00175DFD"/>
  </w:style>
  <w:style w:type="character" w:customStyle="1" w:styleId="comma">
    <w:name w:val="comma"/>
    <w:basedOn w:val="DefaultParagraphFont"/>
    <w:rsid w:val="00175DFD"/>
  </w:style>
  <w:style w:type="paragraph" w:styleId="ListParagraph">
    <w:name w:val="List Paragraph"/>
    <w:basedOn w:val="Normal"/>
    <w:uiPriority w:val="34"/>
    <w:qFormat/>
    <w:rsid w:val="00175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ation-author">
    <w:name w:val="highwire-citation-author"/>
    <w:basedOn w:val="DefaultParagraphFont"/>
    <w:rsid w:val="00A87DB2"/>
  </w:style>
  <w:style w:type="character" w:customStyle="1" w:styleId="highwire-cite-metadata-journal">
    <w:name w:val="highwire-cite-metadata-journal"/>
    <w:basedOn w:val="DefaultParagraphFont"/>
    <w:rsid w:val="00A87DB2"/>
  </w:style>
  <w:style w:type="character" w:customStyle="1" w:styleId="highwire-cite-metadata-year">
    <w:name w:val="highwire-cite-metadata-year"/>
    <w:basedOn w:val="DefaultParagraphFont"/>
    <w:rsid w:val="00A87DB2"/>
  </w:style>
  <w:style w:type="character" w:customStyle="1" w:styleId="highwire-cite-metadata-volume">
    <w:name w:val="highwire-cite-metadata-volume"/>
    <w:basedOn w:val="DefaultParagraphFont"/>
    <w:rsid w:val="00A87DB2"/>
  </w:style>
  <w:style w:type="character" w:customStyle="1" w:styleId="highwire-cite-metadata-pages">
    <w:name w:val="highwire-cite-metadata-pages"/>
    <w:basedOn w:val="DefaultParagraphFont"/>
    <w:rsid w:val="00A87DB2"/>
  </w:style>
  <w:style w:type="character" w:customStyle="1" w:styleId="highwire-cite-metadata-date">
    <w:name w:val="highwire-cite-metadata-date"/>
    <w:basedOn w:val="DefaultParagraphFont"/>
    <w:rsid w:val="00A87DB2"/>
  </w:style>
  <w:style w:type="character" w:customStyle="1" w:styleId="label">
    <w:name w:val="label"/>
    <w:basedOn w:val="DefaultParagraphFont"/>
    <w:rsid w:val="00A87DB2"/>
  </w:style>
  <w:style w:type="character" w:customStyle="1" w:styleId="highwire-cite-metadata-doi">
    <w:name w:val="highwire-cite-metadata-doi"/>
    <w:basedOn w:val="DefaultParagraphFont"/>
    <w:rsid w:val="00A8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ben.stenson</dc:creator>
  <cp:lastModifiedBy>Becher, Julie-Clare</cp:lastModifiedBy>
  <cp:revision>2</cp:revision>
  <dcterms:created xsi:type="dcterms:W3CDTF">2021-12-01T19:23:00Z</dcterms:created>
  <dcterms:modified xsi:type="dcterms:W3CDTF">2021-12-01T19:23:00Z</dcterms:modified>
</cp:coreProperties>
</file>