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C6" w:rsidRPr="00A42906" w:rsidRDefault="00A42906" w:rsidP="00C231C6">
      <w:pPr>
        <w:ind w:left="284" w:right="333"/>
        <w:jc w:val="center"/>
        <w:rPr>
          <w:rFonts w:ascii="Imprint MT Shadow" w:eastAsia="Georgia" w:hAnsi="Imprint MT Shadow" w:cs="Didot"/>
          <w:sz w:val="48"/>
          <w:szCs w:val="36"/>
        </w:rPr>
      </w:pPr>
      <w:r w:rsidRPr="00A42906">
        <w:rPr>
          <w:rFonts w:ascii="Imprint MT Shadow" w:eastAsia="Georgia" w:hAnsi="Imprint MT Shadow" w:cs="Didot"/>
          <w:sz w:val="48"/>
          <w:szCs w:val="36"/>
        </w:rPr>
        <w:t xml:space="preserve">Fifty </w:t>
      </w:r>
      <w:r w:rsidR="00865BBA">
        <w:rPr>
          <w:rFonts w:ascii="Imprint MT Shadow" w:eastAsia="Georgia" w:hAnsi="Imprint MT Shadow" w:cs="Didot"/>
          <w:sz w:val="48"/>
          <w:szCs w:val="36"/>
        </w:rPr>
        <w:t xml:space="preserve">Primers </w:t>
      </w:r>
      <w:r w:rsidRPr="00A42906">
        <w:rPr>
          <w:rFonts w:ascii="Imprint MT Shadow" w:eastAsia="Georgia" w:hAnsi="Imprint MT Shadow" w:cs="Didot"/>
          <w:sz w:val="48"/>
          <w:szCs w:val="36"/>
        </w:rPr>
        <w:t>of Children’s History</w:t>
      </w:r>
      <w:r w:rsidR="003B0171" w:rsidRPr="00A42906">
        <w:rPr>
          <w:rFonts w:ascii="Imprint MT Shadow" w:eastAsia="Georgia" w:hAnsi="Imprint MT Shadow" w:cs="Didot"/>
          <w:sz w:val="48"/>
          <w:szCs w:val="36"/>
        </w:rPr>
        <w:t xml:space="preserve"> </w:t>
      </w:r>
    </w:p>
    <w:p w:rsidR="00A42906" w:rsidRDefault="00A42906" w:rsidP="00A42906">
      <w:pPr>
        <w:rPr>
          <w:rFonts w:ascii="Imprint MT Shadow" w:eastAsia="Georgia" w:hAnsi="Imprint MT Shadow" w:cs="Didot"/>
          <w:sz w:val="28"/>
        </w:rPr>
      </w:pPr>
    </w:p>
    <w:p w:rsidR="00A42906" w:rsidRPr="00A42906" w:rsidRDefault="00A42906" w:rsidP="00C231C6">
      <w:pPr>
        <w:jc w:val="center"/>
        <w:rPr>
          <w:rFonts w:ascii="Imprint MT Shadow" w:eastAsia="Georgia" w:hAnsi="Imprint MT Shadow" w:cs="Didot"/>
          <w:sz w:val="28"/>
        </w:rPr>
      </w:pPr>
      <w:r w:rsidRPr="00A42906">
        <w:rPr>
          <w:rFonts w:ascii="Imprint MT Shadow" w:eastAsia="Georgia" w:hAnsi="Imprint MT Shadow" w:cs="Didot"/>
          <w:sz w:val="28"/>
        </w:rPr>
        <w:t>Society for the History of Children and Youth</w:t>
      </w:r>
    </w:p>
    <w:p w:rsidR="00A42906" w:rsidRPr="00A42906" w:rsidRDefault="00A42906" w:rsidP="00A42906">
      <w:pPr>
        <w:jc w:val="center"/>
        <w:rPr>
          <w:rFonts w:ascii="Imprint MT Shadow" w:eastAsia="Georgia" w:hAnsi="Imprint MT Shadow" w:cs="Didot"/>
        </w:rPr>
      </w:pPr>
    </w:p>
    <w:p w:rsidR="00A42906" w:rsidRDefault="00C231C6" w:rsidP="00A42906">
      <w:pPr>
        <w:jc w:val="center"/>
        <w:rPr>
          <w:rFonts w:ascii="Imprint MT Shadow" w:eastAsia="Georgia" w:hAnsi="Imprint MT Shadow" w:cs="Didot"/>
        </w:rPr>
      </w:pPr>
      <w:r w:rsidRPr="00A42906">
        <w:rPr>
          <w:rFonts w:ascii="Imprint MT Shadow" w:eastAsia="Georgia" w:hAnsi="Imprint MT Shadow" w:cs="Didot"/>
        </w:rPr>
        <w:t>Version 1.0 (</w:t>
      </w:r>
      <w:r w:rsidR="00A42906" w:rsidRPr="00A42906">
        <w:rPr>
          <w:rFonts w:ascii="Imprint MT Shadow" w:eastAsia="Georgia" w:hAnsi="Imprint MT Shadow" w:cs="Didot"/>
        </w:rPr>
        <w:t>February 2018</w:t>
      </w:r>
      <w:r w:rsidRPr="00A42906">
        <w:rPr>
          <w:rFonts w:ascii="Imprint MT Shadow" w:eastAsia="Georgia" w:hAnsi="Imprint MT Shadow" w:cs="Didot"/>
        </w:rPr>
        <w:t>)</w:t>
      </w:r>
    </w:p>
    <w:p w:rsidR="00A42906" w:rsidRPr="00A42906" w:rsidRDefault="00A42906" w:rsidP="00A42906">
      <w:pPr>
        <w:jc w:val="center"/>
        <w:rPr>
          <w:rFonts w:ascii="Imprint MT Shadow" w:eastAsia="Georgia" w:hAnsi="Imprint MT Shadow" w:cs="Didot"/>
        </w:rPr>
      </w:pPr>
    </w:p>
    <w:p w:rsidR="00D64C01" w:rsidRDefault="00A42906" w:rsidP="00A42906">
      <w:pPr>
        <w:jc w:val="center"/>
        <w:rPr>
          <w:rFonts w:ascii="Garamond" w:eastAsia="Georgia" w:hAnsi="Garamond" w:cs="Didot"/>
          <w:color w:val="BFBFBF" w:themeColor="background1" w:themeShade="BF"/>
        </w:rPr>
      </w:pPr>
      <w:r w:rsidRPr="00A42906">
        <w:rPr>
          <w:rFonts w:ascii="Garamond" w:eastAsia="Georgia" w:hAnsi="Garamond" w:cs="Didot"/>
          <w:color w:val="BFBFBF" w:themeColor="background1" w:themeShade="BF"/>
        </w:rPr>
        <w:t>_______________</w:t>
      </w:r>
    </w:p>
    <w:p w:rsidR="00A42906" w:rsidRPr="00A42906" w:rsidRDefault="00A42906" w:rsidP="00A42906">
      <w:pPr>
        <w:jc w:val="center"/>
        <w:rPr>
          <w:rFonts w:ascii="Garamond" w:eastAsia="Georgia" w:hAnsi="Garamond" w:cs="Didot"/>
          <w:color w:val="1C4587"/>
        </w:rPr>
      </w:pPr>
    </w:p>
    <w:p w:rsidR="00A42906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We have been asking some children’s historians about the publications that have inspired them and here are some of the </w:t>
      </w:r>
      <w:r>
        <w:rPr>
          <w:rFonts w:ascii="Garamond" w:hAnsi="Garamond" w:cs="Calibri Light"/>
          <w:color w:val="000000"/>
          <w:lang w:val="en-GB"/>
        </w:rPr>
        <w:t xml:space="preserve">responses </w:t>
      </w:r>
      <w:r w:rsidRPr="00A42906">
        <w:rPr>
          <w:rFonts w:ascii="Garamond" w:hAnsi="Garamond" w:cs="Calibri Light"/>
          <w:color w:val="000000"/>
          <w:lang w:val="en-GB"/>
        </w:rPr>
        <w:t>we</w:t>
      </w:r>
      <w:r>
        <w:rPr>
          <w:rFonts w:ascii="Garamond" w:hAnsi="Garamond" w:cs="Calibri Light"/>
          <w:color w:val="000000"/>
          <w:lang w:val="en-GB"/>
        </w:rPr>
        <w:t xml:space="preserve"> have</w:t>
      </w:r>
      <w:r w:rsidRPr="00A42906">
        <w:rPr>
          <w:rFonts w:ascii="Garamond" w:hAnsi="Garamond" w:cs="Calibri Light"/>
          <w:color w:val="000000"/>
          <w:lang w:val="en-GB"/>
        </w:rPr>
        <w:t xml:space="preserve"> received</w:t>
      </w:r>
      <w:r>
        <w:rPr>
          <w:rFonts w:ascii="Garamond" w:hAnsi="Garamond" w:cs="Calibri Light"/>
          <w:color w:val="000000"/>
          <w:lang w:val="en-GB"/>
        </w:rPr>
        <w:t>.</w:t>
      </w:r>
    </w:p>
    <w:p w:rsidR="00A42906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b/>
          <w:color w:val="000000"/>
          <w:lang w:val="en-GB"/>
        </w:rPr>
      </w:pPr>
      <w:r w:rsidRPr="00A42906">
        <w:rPr>
          <w:rFonts w:ascii="Garamond" w:hAnsi="Garamond" w:cs="Calibri Light"/>
          <w:b/>
          <w:color w:val="000000"/>
          <w:lang w:val="en-GB"/>
        </w:rPr>
        <w:t>ARTICLES/BOOK CHAPTERS</w:t>
      </w:r>
    </w:p>
    <w:p w:rsidR="00A42906" w:rsidRPr="00A42906" w:rsidRDefault="00A42906" w:rsidP="00A42906">
      <w:pPr>
        <w:widowControl w:val="0"/>
        <w:autoSpaceDE w:val="0"/>
        <w:autoSpaceDN w:val="0"/>
        <w:adjustRightInd w:val="0"/>
        <w:jc w:val="both"/>
        <w:rPr>
          <w:rFonts w:ascii="Garamond" w:hAnsi="Garamond" w:cs="Calibri Light"/>
          <w:b/>
          <w:color w:val="000000"/>
          <w:lang w:val="en-GB"/>
        </w:rPr>
      </w:pP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Sarah Louise Baker, “P</w:t>
      </w:r>
      <w:r w:rsidR="00A42906">
        <w:rPr>
          <w:rFonts w:ascii="Garamond" w:hAnsi="Garamond" w:cs="Calibri Light"/>
          <w:color w:val="000000"/>
          <w:lang w:val="en-GB"/>
        </w:rPr>
        <w:t>op in(to) the bedroom: Popular Music in Pre-Teen Girls’ Bedroom C</w:t>
      </w:r>
      <w:r w:rsidRPr="00A42906">
        <w:rPr>
          <w:rFonts w:ascii="Garamond" w:hAnsi="Garamond" w:cs="Calibri Light"/>
          <w:color w:val="000000"/>
          <w:lang w:val="en-GB"/>
        </w:rPr>
        <w:t xml:space="preserve">ulture”,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European Journal of Cultural Studies</w:t>
      </w:r>
      <w:r w:rsidR="00A42906">
        <w:rPr>
          <w:rFonts w:ascii="Garamond" w:hAnsi="Garamond" w:cs="Calibri Light"/>
          <w:color w:val="000000"/>
          <w:lang w:val="en-GB"/>
        </w:rPr>
        <w:t xml:space="preserve"> 7, no. 1 (2004): 75-93</w:t>
      </w:r>
      <w:r w:rsidRPr="00A42906">
        <w:rPr>
          <w:rFonts w:ascii="Garamond" w:hAnsi="Garamond" w:cs="Calibri Light"/>
          <w:color w:val="000000"/>
          <w:lang w:val="en-GB"/>
        </w:rPr>
        <w:t>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Hester Barron and Claire Langhamer, “Feeling through Practice: Subjectivity and Emotion in Children’s Writing”,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Journal of Social History </w:t>
      </w:r>
      <w:r w:rsidR="00A42906">
        <w:rPr>
          <w:rFonts w:ascii="Garamond" w:hAnsi="Garamond" w:cs="Calibri Light"/>
          <w:color w:val="000000"/>
          <w:lang w:val="en-GB"/>
        </w:rPr>
        <w:t>51, no. 1 (2016): 101-</w:t>
      </w:r>
      <w:r w:rsidRPr="00A42906">
        <w:rPr>
          <w:rFonts w:ascii="Garamond" w:hAnsi="Garamond" w:cs="Calibri Light"/>
          <w:color w:val="000000"/>
          <w:lang w:val="en-GB"/>
        </w:rPr>
        <w:t>23.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>Chris Brick</w:t>
      </w:r>
      <w:r w:rsidR="008740E2" w:rsidRPr="00A42906">
        <w:rPr>
          <w:rFonts w:ascii="Garamond" w:hAnsi="Garamond" w:cs="Calibri Light"/>
          <w:color w:val="000000"/>
          <w:lang w:val="en-GB"/>
        </w:rPr>
        <w:t>el</w:t>
      </w:r>
      <w:r>
        <w:rPr>
          <w:rFonts w:ascii="Garamond" w:hAnsi="Garamond" w:cs="Calibri Light"/>
          <w:color w:val="000000"/>
          <w:lang w:val="en-GB"/>
        </w:rPr>
        <w:t>l, “On the Case of Youth: Case Files, Case Studies and the Social Construction of A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dolescence,” </w:t>
      </w:r>
      <w:r w:rsidR="008740E2" w:rsidRPr="00A42906">
        <w:rPr>
          <w:rFonts w:ascii="Garamond" w:hAnsi="Garamond" w:cs="Calibri Light"/>
          <w:i/>
          <w:color w:val="000000"/>
          <w:lang w:val="en-GB"/>
        </w:rPr>
        <w:t xml:space="preserve">Journal of </w:t>
      </w:r>
      <w:r>
        <w:rPr>
          <w:rFonts w:ascii="Garamond" w:hAnsi="Garamond" w:cs="Calibri Light"/>
          <w:i/>
          <w:color w:val="000000"/>
          <w:lang w:val="en-GB"/>
        </w:rPr>
        <w:t xml:space="preserve">the History of </w:t>
      </w:r>
      <w:r w:rsidR="008740E2" w:rsidRPr="00A42906">
        <w:rPr>
          <w:rFonts w:ascii="Garamond" w:hAnsi="Garamond" w:cs="Calibri Light"/>
          <w:i/>
          <w:color w:val="000000"/>
          <w:lang w:val="en-GB"/>
        </w:rPr>
        <w:t>Childhood and Youth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 6,</w:t>
      </w:r>
      <w:r w:rsidR="00274AD2" w:rsidRPr="00A42906">
        <w:rPr>
          <w:rFonts w:ascii="Garamond" w:hAnsi="Garamond" w:cs="Calibri Light"/>
          <w:color w:val="000000"/>
          <w:lang w:val="en-GB"/>
        </w:rPr>
        <w:t xml:space="preserve"> no. 1 (</w:t>
      </w:r>
      <w:r w:rsidR="008740E2" w:rsidRPr="00A42906">
        <w:rPr>
          <w:rFonts w:ascii="Garamond" w:hAnsi="Garamond" w:cs="Calibri Light"/>
          <w:color w:val="000000"/>
          <w:lang w:val="en-GB"/>
        </w:rPr>
        <w:t>2013): 50-80.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Nic Clarke, “Sacred Daemons: Exploring British Columbian Society’s Perception of “Mentally Deficient” Children, 1870- 1930,” 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BC Studies</w:t>
      </w:r>
      <w:r w:rsidR="00A42906">
        <w:rPr>
          <w:rFonts w:ascii="Garamond" w:hAnsi="Garamond" w:cs="Calibri Light"/>
          <w:color w:val="000000"/>
          <w:lang w:val="en-GB"/>
        </w:rPr>
        <w:t> 144 (2004/</w:t>
      </w:r>
      <w:r w:rsidR="00274AD2" w:rsidRPr="00A42906">
        <w:rPr>
          <w:rFonts w:ascii="Garamond" w:hAnsi="Garamond" w:cs="Calibri Light"/>
          <w:color w:val="000000"/>
          <w:lang w:val="en-GB"/>
        </w:rPr>
        <w:t xml:space="preserve">5): </w:t>
      </w:r>
      <w:r w:rsidRPr="00A42906">
        <w:rPr>
          <w:rFonts w:ascii="Garamond" w:hAnsi="Garamond" w:cs="Calibri Light"/>
          <w:color w:val="000000"/>
          <w:lang w:val="en-GB"/>
        </w:rPr>
        <w:t>61-90.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Anna Davin, “What is a child?” in Anthony Fletcher and Stephen Hussey (eds), 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Childhood in Q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uestion: 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Children, Parents and the S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tate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Manchester and New York: Manchester University Press, </w:t>
      </w:r>
      <w:r w:rsidRPr="00A42906">
        <w:rPr>
          <w:rFonts w:ascii="Garamond" w:hAnsi="Garamond" w:cs="Calibri Light"/>
          <w:color w:val="000000"/>
          <w:lang w:val="en-GB"/>
        </w:rPr>
        <w:t>1999): 15-36</w:t>
      </w:r>
      <w:r w:rsidR="00274AD2" w:rsidRPr="00A42906">
        <w:rPr>
          <w:rFonts w:ascii="Garamond" w:hAnsi="Garamond" w:cs="Calibri Light"/>
          <w:color w:val="000000"/>
          <w:lang w:val="en-GB"/>
        </w:rPr>
        <w:t>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Michelle Elleray, “Little Builders: Coral Insects, Missionary Culture, and the Victorian Child”,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Victorian Literature and Culture</w:t>
      </w:r>
      <w:r w:rsidRPr="00A42906">
        <w:rPr>
          <w:rFonts w:ascii="Garamond" w:hAnsi="Garamond" w:cs="Calibri Light"/>
          <w:color w:val="000000"/>
          <w:lang w:val="en-GB"/>
        </w:rPr>
        <w:t xml:space="preserve"> 39, no. 1 (2011): 223-38.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Kathryn Gleadle, “The Juvenile Enlightenment: British Children and Youth During the French Revolution”,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Past &amp; Present </w:t>
      </w:r>
      <w:r w:rsidRPr="00A42906">
        <w:rPr>
          <w:rFonts w:ascii="Garamond" w:hAnsi="Garamond" w:cs="Calibri Light"/>
          <w:color w:val="000000"/>
          <w:lang w:val="en-GB"/>
        </w:rPr>
        <w:t>233, n</w:t>
      </w:r>
      <w:r w:rsidR="00274AD2" w:rsidRPr="00A42906">
        <w:rPr>
          <w:rFonts w:ascii="Garamond" w:hAnsi="Garamond" w:cs="Calibri Light"/>
          <w:color w:val="000000"/>
          <w:lang w:val="en-GB"/>
        </w:rPr>
        <w:t>o. 1 (2016): 143-</w:t>
      </w:r>
      <w:r w:rsidRPr="00A42906">
        <w:rPr>
          <w:rFonts w:ascii="Garamond" w:hAnsi="Garamond" w:cs="Calibri Light"/>
          <w:color w:val="000000"/>
          <w:lang w:val="en-GB"/>
        </w:rPr>
        <w:t xml:space="preserve">84. 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>Mona Gleason, “Metaphor, Materiality, and Method: The Central Role of Embodiment in the History of E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ducation”, </w:t>
      </w:r>
      <w:r w:rsidR="008740E2" w:rsidRPr="00A42906">
        <w:rPr>
          <w:rFonts w:ascii="Garamond" w:hAnsi="Garamond" w:cs="Calibri Light"/>
          <w:i/>
          <w:iCs/>
          <w:color w:val="000000"/>
          <w:lang w:val="en-GB"/>
        </w:rPr>
        <w:t>Paedagogica Historica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 28, no. 2 (2017): 1-16.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Mona Gleason, “Avoiding the </w:t>
      </w:r>
      <w:r w:rsidR="00A42906">
        <w:rPr>
          <w:rFonts w:ascii="Garamond" w:hAnsi="Garamond" w:cs="Calibri Light"/>
          <w:color w:val="000000"/>
          <w:lang w:val="en-GB"/>
        </w:rPr>
        <w:t>Agency Trap: Caveats for Historians of Children, Y</w:t>
      </w:r>
      <w:r w:rsidRPr="00A42906">
        <w:rPr>
          <w:rFonts w:ascii="Garamond" w:hAnsi="Garamond" w:cs="Calibri Light"/>
          <w:color w:val="000000"/>
          <w:lang w:val="en-GB"/>
        </w:rPr>
        <w:t xml:space="preserve">outh, and </w:t>
      </w:r>
      <w:r w:rsidR="00A42906">
        <w:rPr>
          <w:rFonts w:ascii="Garamond" w:hAnsi="Garamond" w:cs="Calibri Light"/>
          <w:color w:val="000000"/>
          <w:lang w:val="en-GB"/>
        </w:rPr>
        <w:t>E</w:t>
      </w:r>
      <w:r w:rsidRPr="00A42906">
        <w:rPr>
          <w:rFonts w:ascii="Garamond" w:hAnsi="Garamond" w:cs="Calibri Light"/>
          <w:color w:val="000000"/>
          <w:lang w:val="en-GB"/>
        </w:rPr>
        <w:t xml:space="preserve">ducation”,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History of Education</w:t>
      </w:r>
      <w:r w:rsidRPr="00A42906">
        <w:rPr>
          <w:rFonts w:ascii="Garamond" w:hAnsi="Garamond" w:cs="Calibri Light"/>
          <w:color w:val="000000"/>
          <w:lang w:val="en-GB"/>
        </w:rPr>
        <w:t xml:space="preserve"> 45, no. 4 (2016): 446-59.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i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 xml:space="preserve">Colin Heywood, “Centuries of Childhood: An Anniversary – and an Epitaph?”, </w:t>
      </w:r>
      <w:r>
        <w:rPr>
          <w:rFonts w:ascii="Garamond" w:hAnsi="Garamond" w:cs="Calibri Light"/>
          <w:i/>
          <w:color w:val="000000"/>
          <w:lang w:val="en-GB"/>
        </w:rPr>
        <w:t>Journal of the History of Childhood and Youth</w:t>
      </w:r>
      <w:r>
        <w:rPr>
          <w:rFonts w:ascii="Garamond" w:hAnsi="Garamond" w:cs="Calibri Light"/>
          <w:color w:val="000000"/>
          <w:lang w:val="en-GB"/>
        </w:rPr>
        <w:t xml:space="preserve"> 3, no. 3 (2010): 341-65.</w:t>
      </w:r>
      <w:r>
        <w:rPr>
          <w:rFonts w:ascii="Garamond" w:hAnsi="Garamond" w:cs="Calibri Light"/>
          <w:i/>
          <w:color w:val="000000"/>
          <w:lang w:val="en-GB"/>
        </w:rPr>
        <w:t xml:space="preserve"> </w:t>
      </w:r>
    </w:p>
    <w:p w:rsid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i/>
          <w:color w:val="000000"/>
          <w:lang w:val="en-GB"/>
        </w:rPr>
      </w:pPr>
    </w:p>
    <w:p w:rsidR="008740E2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>Ludmilla Jordanova, “Children in History: Concepts of Nature and Society”, in Geoffrey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 Scarre (ed.), </w:t>
      </w:r>
      <w:r w:rsidR="008740E2" w:rsidRPr="00A42906">
        <w:rPr>
          <w:rFonts w:ascii="Garamond" w:hAnsi="Garamond" w:cs="Calibri Light"/>
          <w:i/>
          <w:iCs/>
          <w:color w:val="000000"/>
          <w:lang w:val="en-GB"/>
        </w:rPr>
        <w:t>Children, Parents and Politics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 (Cambridge: Ca</w:t>
      </w:r>
      <w:r>
        <w:rPr>
          <w:rFonts w:ascii="Garamond" w:hAnsi="Garamond" w:cs="Calibri Light"/>
          <w:color w:val="000000"/>
          <w:lang w:val="en-GB"/>
        </w:rPr>
        <w:t>mbridge University Press, 1989): 3-24.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Lia Karsten, “It All Used to be Better? Different Generations on Continuity and Change in Urban Children’s Daily Use of Space”,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Children’s Geographies</w:t>
      </w:r>
      <w:r w:rsidR="00274AD2" w:rsidRPr="00A42906">
        <w:rPr>
          <w:rFonts w:ascii="Garamond" w:hAnsi="Garamond" w:cs="Calibri Light"/>
          <w:color w:val="000000"/>
          <w:lang w:val="en-GB"/>
        </w:rPr>
        <w:t xml:space="preserve"> 3, no. 1 (2005): 275-</w:t>
      </w:r>
      <w:r w:rsidRPr="00A42906">
        <w:rPr>
          <w:rFonts w:ascii="Garamond" w:hAnsi="Garamond" w:cs="Calibri Light"/>
          <w:color w:val="000000"/>
          <w:lang w:val="en-GB"/>
        </w:rPr>
        <w:t>90.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Doreen Massey, “The Spatial Construction of Youth Cultures”, in Tracey Skelton and Gill Valentine (eds.),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Cool Places: Geographies of Youth Cultures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>London and New York: Routledge, 1998): 121-9.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>Mary Jo Maynes, “Age as a Category of Historical Analysis: History, Agency, and Narratives of C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hildhood”, </w:t>
      </w:r>
      <w:r w:rsidR="008740E2" w:rsidRPr="00A42906">
        <w:rPr>
          <w:rFonts w:ascii="Garamond" w:hAnsi="Garamond" w:cs="Calibri Light"/>
          <w:i/>
          <w:iCs/>
          <w:color w:val="000000"/>
          <w:lang w:val="en-GB"/>
        </w:rPr>
        <w:t>The Journal of the History of Childhood and Youth</w:t>
      </w:r>
      <w:r w:rsidR="00274AD2" w:rsidRPr="00A42906">
        <w:rPr>
          <w:rFonts w:ascii="Garamond" w:hAnsi="Garamond" w:cs="Calibri Light"/>
          <w:color w:val="000000"/>
          <w:lang w:val="en-GB"/>
        </w:rPr>
        <w:t xml:space="preserve"> 1, no. 1 (2008): 114-</w:t>
      </w:r>
      <w:r w:rsidR="008740E2" w:rsidRPr="00A42906">
        <w:rPr>
          <w:rFonts w:ascii="Garamond" w:hAnsi="Garamond" w:cs="Calibri Light"/>
          <w:color w:val="000000"/>
          <w:lang w:val="en-GB"/>
        </w:rPr>
        <w:t>24.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Susan Miller, “Assent as Agency in the Early Years of the Children of the American Revolution”,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The Journal of the History of Childhood and Youth</w:t>
      </w:r>
      <w:r w:rsidRPr="00A42906">
        <w:rPr>
          <w:rFonts w:ascii="Garamond" w:hAnsi="Garamond" w:cs="Calibri Light"/>
          <w:color w:val="000000"/>
          <w:lang w:val="en-GB"/>
        </w:rPr>
        <w:t xml:space="preserve"> 9, no. 1 (2016): 48-65.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Tamara Myers, “Embodying Delinquency: Boys’ Bodies, Sexuality, and Juvenile Justice History in</w:t>
      </w:r>
      <w:r w:rsidR="00A42906">
        <w:rPr>
          <w:rFonts w:ascii="Garamond" w:hAnsi="Garamond" w:cs="Calibri Light"/>
          <w:color w:val="000000"/>
          <w:lang w:val="en-GB"/>
        </w:rPr>
        <w:t xml:space="preserve"> Early-</w:t>
      </w:r>
      <w:r w:rsidR="00274AD2" w:rsidRPr="00A42906">
        <w:rPr>
          <w:rFonts w:ascii="Garamond" w:hAnsi="Garamond" w:cs="Calibri Light"/>
          <w:color w:val="000000"/>
          <w:lang w:val="en-GB"/>
        </w:rPr>
        <w:t>Twentieth-Century Quebec</w:t>
      </w:r>
      <w:r w:rsidRPr="00A42906">
        <w:rPr>
          <w:rFonts w:ascii="Garamond" w:hAnsi="Garamond" w:cs="Calibri Light"/>
          <w:color w:val="000000"/>
          <w:lang w:val="en-GB"/>
        </w:rPr>
        <w:t>”</w:t>
      </w:r>
      <w:r w:rsidR="00274AD2" w:rsidRPr="00A42906">
        <w:rPr>
          <w:rFonts w:ascii="Garamond" w:hAnsi="Garamond" w:cs="Calibri Light"/>
          <w:color w:val="000000"/>
          <w:lang w:val="en-GB"/>
        </w:rPr>
        <w:t>,</w:t>
      </w:r>
      <w:r w:rsidRPr="00A42906">
        <w:rPr>
          <w:rFonts w:ascii="Garamond" w:hAnsi="Garamond" w:cs="Calibri Light"/>
          <w:color w:val="000000"/>
          <w:lang w:val="en-GB"/>
        </w:rPr>
        <w:t xml:space="preserve">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Journal of the History of Sexuality</w:t>
      </w:r>
      <w:r w:rsidR="00274AD2" w:rsidRPr="00A42906">
        <w:rPr>
          <w:rFonts w:ascii="Garamond" w:hAnsi="Garamond" w:cs="Calibri Light"/>
          <w:color w:val="000000"/>
          <w:lang w:val="en-GB"/>
        </w:rPr>
        <w:t xml:space="preserve"> 14, no. 4 (</w:t>
      </w:r>
      <w:r w:rsidRPr="00A42906">
        <w:rPr>
          <w:rFonts w:ascii="Garamond" w:hAnsi="Garamond" w:cs="Calibri Light"/>
          <w:color w:val="000000"/>
          <w:lang w:val="en-GB"/>
        </w:rPr>
        <w:t>2005): 383-414.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J. H. Plumb, “The New World of Children in Eighteenth-Century England”,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Past &amp; Present</w:t>
      </w:r>
      <w:r w:rsidR="00A42906">
        <w:rPr>
          <w:rFonts w:ascii="Garamond" w:hAnsi="Garamond" w:cs="Calibri Light"/>
          <w:color w:val="000000"/>
          <w:lang w:val="en-GB"/>
        </w:rPr>
        <w:t xml:space="preserve"> 67, no. 1 </w:t>
      </w:r>
      <w:r w:rsidR="00274AD2" w:rsidRPr="00A42906">
        <w:rPr>
          <w:rFonts w:ascii="Garamond" w:hAnsi="Garamond" w:cs="Calibri Light"/>
          <w:color w:val="000000"/>
          <w:lang w:val="en-GB"/>
        </w:rPr>
        <w:t>(1975): 64-</w:t>
      </w:r>
      <w:r w:rsidRPr="00A42906">
        <w:rPr>
          <w:rFonts w:ascii="Garamond" w:hAnsi="Garamond" w:cs="Calibri Light"/>
          <w:color w:val="000000"/>
          <w:lang w:val="en-GB"/>
        </w:rPr>
        <w:t>9</w:t>
      </w:r>
      <w:r w:rsidR="00A42906">
        <w:rPr>
          <w:rFonts w:ascii="Garamond" w:hAnsi="Garamond" w:cs="Calibri Light"/>
          <w:color w:val="000000"/>
          <w:lang w:val="en-GB"/>
        </w:rPr>
        <w:t>5</w:t>
      </w:r>
      <w:r w:rsidRPr="00A42906">
        <w:rPr>
          <w:rFonts w:ascii="Garamond" w:hAnsi="Garamond" w:cs="Calibri Light"/>
          <w:color w:val="000000"/>
          <w:lang w:val="en-GB"/>
        </w:rPr>
        <w:t>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Kim Rasmussen, “Places for Children </w:t>
      </w:r>
      <w:r w:rsidR="00A42906">
        <w:rPr>
          <w:rFonts w:ascii="Garamond" w:hAnsi="Garamond" w:cs="Calibri Light"/>
          <w:color w:val="000000"/>
          <w:lang w:val="en-GB"/>
        </w:rPr>
        <w:t>–</w:t>
      </w:r>
      <w:r w:rsidRPr="00A42906">
        <w:rPr>
          <w:rFonts w:ascii="Garamond" w:hAnsi="Garamond" w:cs="Calibri Light"/>
          <w:color w:val="000000"/>
          <w:lang w:val="en-GB"/>
        </w:rPr>
        <w:t xml:space="preserve"> Children</w:t>
      </w:r>
      <w:r w:rsidR="00A42906">
        <w:rPr>
          <w:rFonts w:ascii="Garamond" w:hAnsi="Garamond" w:cs="Calibri Light"/>
          <w:color w:val="000000"/>
          <w:lang w:val="en-GB"/>
        </w:rPr>
        <w:t>’</w:t>
      </w:r>
      <w:r w:rsidRPr="00A42906">
        <w:rPr>
          <w:rFonts w:ascii="Garamond" w:hAnsi="Garamond" w:cs="Calibri Light"/>
          <w:color w:val="000000"/>
          <w:lang w:val="en-GB"/>
        </w:rPr>
        <w:t xml:space="preserve">s Places”,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Childhood</w:t>
      </w:r>
      <w:r w:rsidR="00274AD2" w:rsidRPr="00A42906">
        <w:rPr>
          <w:rFonts w:ascii="Garamond" w:hAnsi="Garamond" w:cs="Calibri Light"/>
          <w:color w:val="000000"/>
          <w:lang w:val="en-GB"/>
        </w:rPr>
        <w:t xml:space="preserve"> 11, no. 2 (2004): 155-</w:t>
      </w:r>
      <w:r w:rsidRPr="00A42906">
        <w:rPr>
          <w:rFonts w:ascii="Garamond" w:hAnsi="Garamond" w:cs="Calibri Light"/>
          <w:color w:val="000000"/>
          <w:lang w:val="en-GB"/>
        </w:rPr>
        <w:t>73.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Nicholas Stargardt, “German Childhoods: The Making of a Historiography”,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German History</w:t>
      </w:r>
      <w:r w:rsidRPr="00A42906">
        <w:rPr>
          <w:rFonts w:ascii="Garamond" w:hAnsi="Garamond" w:cs="Calibri Light"/>
          <w:color w:val="000000"/>
          <w:lang w:val="en-GB"/>
        </w:rPr>
        <w:t xml:space="preserve"> 16, no. 1 (1998): 1-15.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Nicholas Stargardt, “Children’s art of the Holocaust”, </w:t>
      </w:r>
      <w:r w:rsidR="00274AD2" w:rsidRPr="00A42906">
        <w:rPr>
          <w:rFonts w:ascii="Garamond" w:hAnsi="Garamond" w:cs="Calibri Light"/>
          <w:i/>
          <w:iCs/>
          <w:color w:val="000000"/>
          <w:lang w:val="en-GB"/>
        </w:rPr>
        <w:t>Past &amp;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 Present</w:t>
      </w:r>
      <w:r w:rsidRPr="00A42906">
        <w:rPr>
          <w:rFonts w:ascii="Garamond" w:hAnsi="Garamond" w:cs="Calibri Light"/>
          <w:color w:val="000000"/>
          <w:lang w:val="en-GB"/>
        </w:rPr>
        <w:t xml:space="preserve"> 161 (1998): 191-235.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Shurlee Swain, “Locating the Child within the History of Childhood”, in Joanne Faulkner and Magdelena Zolkos (eds.),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Critical Childhood Studies and the Practice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>US: Lexington Books, 2015): 3-14.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274AD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Sudipa Topdar, “</w:t>
      </w:r>
      <w:r w:rsidR="008740E2" w:rsidRPr="00A42906">
        <w:rPr>
          <w:rFonts w:ascii="Garamond" w:hAnsi="Garamond" w:cs="Calibri Light"/>
          <w:color w:val="000000"/>
          <w:lang w:val="en-GB"/>
        </w:rPr>
        <w:t>The Corporeal Empire: Physical Education and Politicising Children’s</w:t>
      </w:r>
      <w:r w:rsidRPr="00A42906">
        <w:rPr>
          <w:rFonts w:ascii="Garamond" w:hAnsi="Garamond" w:cs="Calibri Light"/>
          <w:color w:val="000000"/>
          <w:lang w:val="en-GB"/>
        </w:rPr>
        <w:t xml:space="preserve"> Bodies in Late Colonial Bengal”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, </w:t>
      </w:r>
      <w:r w:rsidR="008740E2" w:rsidRPr="00A42906">
        <w:rPr>
          <w:rFonts w:ascii="Garamond" w:hAnsi="Garamond" w:cs="Calibri Light"/>
          <w:i/>
          <w:iCs/>
          <w:color w:val="000000"/>
          <w:lang w:val="en-GB"/>
        </w:rPr>
        <w:t>Gender &amp; History</w:t>
      </w:r>
      <w:r w:rsidRPr="00A42906">
        <w:rPr>
          <w:rFonts w:ascii="Garamond" w:hAnsi="Garamond" w:cs="Calibri Light"/>
          <w:color w:val="000000"/>
          <w:lang w:val="en-GB"/>
        </w:rPr>
        <w:t xml:space="preserve"> 29, no. 1 (2017): 176-</w:t>
      </w:r>
      <w:r w:rsidR="008740E2" w:rsidRPr="00A42906">
        <w:rPr>
          <w:rFonts w:ascii="Garamond" w:hAnsi="Garamond" w:cs="Calibri Light"/>
          <w:color w:val="000000"/>
          <w:lang w:val="en-GB"/>
        </w:rPr>
        <w:t xml:space="preserve">97. 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Siân Pooley, “Children’s Writing and the Popular Press”,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History Workshop Journal</w:t>
      </w:r>
      <w:r w:rsidRPr="00A42906">
        <w:rPr>
          <w:rFonts w:ascii="Garamond" w:hAnsi="Garamond" w:cs="Calibri Light"/>
          <w:color w:val="000000"/>
          <w:lang w:val="en-GB"/>
        </w:rPr>
        <w:t xml:space="preserve"> 80, no. 1 (2015): 75-98.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Barbara Y. Welke, “The cowboy suit tragedy: Spreading risk, owning hazard in the modern American consumer economy”,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Journal of American History</w:t>
      </w:r>
      <w:r w:rsidRPr="00A42906">
        <w:rPr>
          <w:rFonts w:ascii="Garamond" w:hAnsi="Garamond" w:cs="Calibri Light"/>
          <w:color w:val="000000"/>
          <w:lang w:val="en-GB"/>
        </w:rPr>
        <w:t xml:space="preserve"> 101, no. 1 (2014): 97-121.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b/>
          <w:color w:val="000000"/>
          <w:lang w:val="en-GB"/>
        </w:rPr>
      </w:pP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b/>
          <w:color w:val="000000"/>
          <w:lang w:val="en-GB"/>
        </w:rPr>
      </w:pPr>
      <w:r w:rsidRPr="00A42906">
        <w:rPr>
          <w:rFonts w:ascii="Garamond" w:hAnsi="Garamond" w:cs="Calibri Light"/>
          <w:b/>
          <w:color w:val="000000"/>
          <w:lang w:val="en-GB"/>
        </w:rPr>
        <w:t>BOOKS (including memoirs)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Philippe Ariès,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Centuries of Childhood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: A Social History of Family Life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 </w:t>
      </w:r>
      <w:r w:rsidRPr="00A42906">
        <w:rPr>
          <w:rFonts w:ascii="Garamond" w:hAnsi="Garamond" w:cs="Calibri Light"/>
          <w:color w:val="000000"/>
          <w:lang w:val="en-GB"/>
        </w:rPr>
        <w:t>(Penguin, 1962</w:t>
      </w:r>
      <w:r w:rsidR="00A42906">
        <w:rPr>
          <w:rFonts w:ascii="Garamond" w:hAnsi="Garamond" w:cs="Calibri Light"/>
          <w:color w:val="000000"/>
          <w:lang w:val="en-GB"/>
        </w:rPr>
        <w:t xml:space="preserve"> [1960]</w:t>
      </w:r>
      <w:r w:rsidRPr="00A42906">
        <w:rPr>
          <w:rFonts w:ascii="Garamond" w:hAnsi="Garamond" w:cs="Calibri Light"/>
          <w:color w:val="000000"/>
          <w:lang w:val="en-GB"/>
        </w:rPr>
        <w:t>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Arianne Baggerman and Rudolf Dekker, 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Child of the Enlightenment: Revolutionary Europe Reflected in a Boyhood D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iary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Leiden and Boston: </w:t>
      </w:r>
      <w:r w:rsidRPr="00A42906">
        <w:rPr>
          <w:rFonts w:ascii="Garamond" w:hAnsi="Garamond" w:cs="Calibri Light"/>
          <w:color w:val="000000"/>
          <w:lang w:val="en-GB"/>
        </w:rPr>
        <w:t>Brill Academic Publishers, 2009).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Walter Benjamin,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Berlin Childhood around 1900</w:t>
      </w:r>
      <w:r w:rsidRPr="00A42906">
        <w:rPr>
          <w:rFonts w:ascii="Garamond" w:hAnsi="Garamond" w:cs="Calibri Light"/>
          <w:color w:val="000000"/>
          <w:lang w:val="en-GB"/>
        </w:rPr>
        <w:t xml:space="preserve"> [Berliner K</w:t>
      </w:r>
      <w:r w:rsidR="00A42906">
        <w:rPr>
          <w:rFonts w:ascii="Garamond" w:hAnsi="Garamond" w:cs="Calibri Light"/>
          <w:color w:val="000000"/>
          <w:lang w:val="en-GB"/>
        </w:rPr>
        <w:t xml:space="preserve">indheit um Neunzehnhundert], translate by Howard Eiland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>Cambridge: Harvard University Press,</w:t>
      </w:r>
      <w:r w:rsidRPr="00A42906">
        <w:rPr>
          <w:rFonts w:ascii="Garamond" w:hAnsi="Garamond" w:cs="Calibri Light"/>
          <w:color w:val="000000"/>
          <w:lang w:val="en-GB"/>
        </w:rPr>
        <w:t xml:space="preserve"> 2006).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Megan Birk,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Fostering on the Farm: Child Placement in the Rural Midwest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Urban and Chicago: </w:t>
      </w:r>
      <w:r w:rsidRPr="00A42906">
        <w:rPr>
          <w:rFonts w:ascii="Garamond" w:hAnsi="Garamond" w:cs="Calibri Light"/>
          <w:color w:val="000000"/>
          <w:lang w:val="en-GB"/>
        </w:rPr>
        <w:t>University of Illinois Press, 2015).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Karin Calvert,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Children in the House: The Material Culture of Early Childhood, 1600-1900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Boston: </w:t>
      </w:r>
      <w:r w:rsidRPr="00A42906">
        <w:rPr>
          <w:rFonts w:ascii="Garamond" w:hAnsi="Garamond" w:cs="Calibri Light"/>
          <w:color w:val="000000"/>
          <w:lang w:val="en-GB"/>
        </w:rPr>
        <w:t>Northeastern University Press, 1992).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Daniel Thomas Cook,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The Commodification of Childhood: The Children’s Clothing Industry and the Rise of the Child Consumer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Durham: </w:t>
      </w:r>
      <w:r w:rsidRPr="00A42906">
        <w:rPr>
          <w:rFonts w:ascii="Garamond" w:hAnsi="Garamond" w:cs="Calibri Light"/>
          <w:color w:val="000000"/>
          <w:lang w:val="en-GB"/>
        </w:rPr>
        <w:t>Duke University Press, 2004).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Gary Cross, 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Kids’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 Stuff: Toys and the Changing World of American Childhood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>Cambridge: Harvard University Press, 1997</w:t>
      </w:r>
      <w:r w:rsidRPr="00A42906">
        <w:rPr>
          <w:rFonts w:ascii="Garamond" w:hAnsi="Garamond" w:cs="Calibri Light"/>
          <w:color w:val="000000"/>
          <w:lang w:val="en-GB"/>
        </w:rPr>
        <w:t xml:space="preserve">). 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Anna Davin,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Growing Up Poor: Home, School and Street in London, 1870-1914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London: </w:t>
      </w:r>
      <w:r w:rsidRPr="00A42906">
        <w:rPr>
          <w:rFonts w:ascii="Garamond" w:hAnsi="Garamond" w:cs="Calibri Light"/>
          <w:color w:val="000000"/>
          <w:lang w:val="en-GB"/>
        </w:rPr>
        <w:t xml:space="preserve">Rivers Oram Press, 1996). 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Laura Lee Downs,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Childhood in the Promised Land: Working-Class Movements and the </w:t>
      </w:r>
      <w:r w:rsidR="00A42906">
        <w:rPr>
          <w:rFonts w:ascii="Garamond" w:hAnsi="Garamond" w:cs="Calibri Light"/>
          <w:color w:val="000000"/>
          <w:lang w:val="en-GB"/>
        </w:rPr>
        <w:t>colonies de v</w:t>
      </w:r>
      <w:r w:rsidRPr="00A42906">
        <w:rPr>
          <w:rFonts w:ascii="Garamond" w:hAnsi="Garamond" w:cs="Calibri Light"/>
          <w:color w:val="000000"/>
          <w:lang w:val="en-GB"/>
        </w:rPr>
        <w:t xml:space="preserve">acances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in France, 1880-1960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Durham: </w:t>
      </w:r>
      <w:r w:rsidRPr="00A42906">
        <w:rPr>
          <w:rFonts w:ascii="Garamond" w:hAnsi="Garamond" w:cs="Calibri Light"/>
          <w:color w:val="000000"/>
          <w:lang w:val="en-GB"/>
        </w:rPr>
        <w:t xml:space="preserve">Duke University Press, 2002). 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i/>
          <w:iCs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Paula S. Fass,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The Damned and the Beautiful: American Youth in the 1920’s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New York: </w:t>
      </w:r>
      <w:r w:rsidRPr="00A42906">
        <w:rPr>
          <w:rFonts w:ascii="Garamond" w:hAnsi="Garamond" w:cs="Calibri Light"/>
          <w:color w:val="000000"/>
          <w:lang w:val="en-GB"/>
        </w:rPr>
        <w:t>Oxford University Press, 1977).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Miriam Formanek-Brunell,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Made to Play House: Dolls and the Commercialization of American Girlhood, 1830-1930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New Haven: </w:t>
      </w:r>
      <w:r w:rsidRPr="00A42906">
        <w:rPr>
          <w:rFonts w:ascii="Garamond" w:hAnsi="Garamond" w:cs="Calibri Light"/>
          <w:color w:val="000000"/>
          <w:lang w:val="en-GB"/>
        </w:rPr>
        <w:t>Yale University, 1993).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David Laskin,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The Children’s Blizzard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>New York: HarperCollins Publishers, 2004</w:t>
      </w:r>
      <w:r w:rsidRPr="00A42906">
        <w:rPr>
          <w:rFonts w:ascii="Garamond" w:hAnsi="Garamond" w:cs="Calibri Light"/>
          <w:color w:val="000000"/>
          <w:lang w:val="en-GB"/>
        </w:rPr>
        <w:t xml:space="preserve">). </w:t>
      </w:r>
    </w:p>
    <w:p w:rsidR="008740E2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8740E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John R. Gillis,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Youth and History: Tradition and Change</w:t>
      </w:r>
      <w:r w:rsidR="00D64C01" w:rsidRPr="00A42906">
        <w:rPr>
          <w:rFonts w:ascii="Garamond" w:hAnsi="Garamond" w:cs="Calibri Light"/>
          <w:i/>
          <w:iCs/>
          <w:color w:val="000000"/>
          <w:lang w:val="en-GB"/>
        </w:rPr>
        <w:t xml:space="preserve"> in European Age Relations, 1770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 xml:space="preserve"> – </w:t>
      </w:r>
      <w:r w:rsidR="00D64C01" w:rsidRPr="00A42906">
        <w:rPr>
          <w:rFonts w:ascii="Garamond" w:hAnsi="Garamond" w:cs="Calibri Light"/>
          <w:i/>
          <w:iCs/>
          <w:color w:val="000000"/>
          <w:lang w:val="en-GB"/>
        </w:rPr>
        <w:t>Present</w:t>
      </w:r>
      <w:r w:rsidR="00D64C01"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New York and London: </w:t>
      </w:r>
      <w:r w:rsidR="00D64C01" w:rsidRPr="00A42906">
        <w:rPr>
          <w:rFonts w:ascii="Garamond" w:hAnsi="Garamond" w:cs="Calibri Light"/>
          <w:color w:val="000000"/>
          <w:lang w:val="en-GB"/>
        </w:rPr>
        <w:t xml:space="preserve">Academic Press, 1981). 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Steven Mintz,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Huck’s Raft: A History of American Childhood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>Cambridge: Harvard University Press, 2004</w:t>
      </w:r>
      <w:r w:rsidRPr="00A42906">
        <w:rPr>
          <w:rFonts w:ascii="Garamond" w:hAnsi="Garamond" w:cs="Calibri Light"/>
          <w:color w:val="000000"/>
          <w:lang w:val="en-GB"/>
        </w:rPr>
        <w:t>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David Pomfret,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Youth and Empire: Trans-Colonial Childhood in British and French-Asia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Stanford: </w:t>
      </w:r>
      <w:r w:rsidRPr="00A42906">
        <w:rPr>
          <w:rFonts w:ascii="Garamond" w:hAnsi="Garamond" w:cs="Calibri Light"/>
          <w:color w:val="000000"/>
          <w:lang w:val="en-GB"/>
        </w:rPr>
        <w:t>Stanford University Press, 2015).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Bianca Premo,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Children of the Father King: Youth, Authority,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 xml:space="preserve"> and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 Legal Minority in Colonial Lima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Chapel Hill: </w:t>
      </w:r>
      <w:r w:rsidRPr="00A42906">
        <w:rPr>
          <w:rFonts w:ascii="Garamond" w:hAnsi="Garamond" w:cs="Calibri Light"/>
          <w:color w:val="000000"/>
          <w:lang w:val="en-GB"/>
        </w:rPr>
        <w:t>University of North Carolina Press, 2005).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Beryl Rawson,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Children and Childhood in Roman Italy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New York: </w:t>
      </w:r>
      <w:r w:rsidRPr="00A42906">
        <w:rPr>
          <w:rFonts w:ascii="Garamond" w:hAnsi="Garamond" w:cs="Calibri Light"/>
          <w:color w:val="000000"/>
          <w:lang w:val="en-GB"/>
        </w:rPr>
        <w:t xml:space="preserve">Oxford University Press, 2003). 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Simon Sleight,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Young People and the Shaping of 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Public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 Space in Melbourne, 1870-1914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>Farnham: Ashgate Publishing,</w:t>
      </w:r>
      <w:r w:rsidRPr="00A42906">
        <w:rPr>
          <w:rFonts w:ascii="Garamond" w:hAnsi="Garamond" w:cs="Calibri Light"/>
          <w:color w:val="000000"/>
          <w:lang w:val="en-GB"/>
        </w:rPr>
        <w:t xml:space="preserve"> 2013).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Nicholas Stargardt,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Witnesses of War: Children’s Lives Under the Nazis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New York: </w:t>
      </w:r>
      <w:r w:rsidRPr="00A42906">
        <w:rPr>
          <w:rFonts w:ascii="Garamond" w:hAnsi="Garamond" w:cs="Calibri Light"/>
          <w:color w:val="000000"/>
          <w:lang w:val="en-GB"/>
        </w:rPr>
        <w:t xml:space="preserve">Vintage Press, 2007). 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>Brian Sutton-Smith</w:t>
      </w:r>
      <w:r w:rsidR="00D64C01" w:rsidRPr="00A42906">
        <w:rPr>
          <w:rFonts w:ascii="Garamond" w:hAnsi="Garamond" w:cs="Calibri Light"/>
          <w:color w:val="000000"/>
          <w:lang w:val="en-GB"/>
        </w:rPr>
        <w:t>,</w:t>
      </w:r>
      <w:r>
        <w:rPr>
          <w:rFonts w:ascii="Garamond" w:hAnsi="Garamond" w:cs="Calibri Light"/>
          <w:color w:val="000000"/>
          <w:lang w:val="en-GB"/>
        </w:rPr>
        <w:t xml:space="preserve"> Jay Mechling, Thomas W. Johnson and Felicia R. McMahon (eds.)</w:t>
      </w:r>
      <w:r w:rsidR="00D64C01" w:rsidRPr="00A42906">
        <w:rPr>
          <w:rFonts w:ascii="Garamond" w:hAnsi="Garamond" w:cs="Calibri Light"/>
          <w:color w:val="000000"/>
          <w:lang w:val="en-GB"/>
        </w:rPr>
        <w:t xml:space="preserve"> </w:t>
      </w:r>
      <w:r w:rsidR="00D64C01" w:rsidRPr="00A42906">
        <w:rPr>
          <w:rFonts w:ascii="Garamond" w:hAnsi="Garamond" w:cs="Calibri Light"/>
          <w:i/>
          <w:iCs/>
          <w:color w:val="000000"/>
          <w:lang w:val="en-GB"/>
        </w:rPr>
        <w:t>Children’s Folklore: A Source Book</w:t>
      </w:r>
      <w:r>
        <w:rPr>
          <w:rFonts w:ascii="Garamond" w:hAnsi="Garamond" w:cs="Calibri Light"/>
          <w:color w:val="000000"/>
          <w:lang w:val="en-GB"/>
        </w:rPr>
        <w:t xml:space="preserve"> (New York: Garland 1995</w:t>
      </w:r>
      <w:r w:rsidR="00D64C01" w:rsidRPr="00A42906">
        <w:rPr>
          <w:rFonts w:ascii="Garamond" w:hAnsi="Garamond" w:cs="Calibri Light"/>
          <w:color w:val="000000"/>
          <w:lang w:val="en-GB"/>
        </w:rPr>
        <w:t>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Melanie Tebbutt,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Being Boys: Youth, Leisure and Identity in the Inter-War Years </w:t>
      </w:r>
      <w:r w:rsidRPr="00A42906">
        <w:rPr>
          <w:rFonts w:ascii="Garamond" w:hAnsi="Garamond" w:cs="Calibri Light"/>
          <w:color w:val="000000"/>
          <w:lang w:val="en-GB"/>
        </w:rPr>
        <w:t>(</w:t>
      </w:r>
      <w:r w:rsidR="00A42906">
        <w:rPr>
          <w:rFonts w:ascii="Garamond" w:hAnsi="Garamond" w:cs="Calibri Light"/>
          <w:color w:val="000000"/>
          <w:lang w:val="en-GB"/>
        </w:rPr>
        <w:t xml:space="preserve">Manchester: </w:t>
      </w:r>
      <w:r w:rsidRPr="00A42906">
        <w:rPr>
          <w:rFonts w:ascii="Garamond" w:hAnsi="Garamond" w:cs="Calibri Light"/>
          <w:color w:val="000000"/>
          <w:lang w:val="en-GB"/>
        </w:rPr>
        <w:t>Manchester University Press, 2012).</w:t>
      </w:r>
    </w:p>
    <w:p w:rsid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</w:p>
    <w:p w:rsidR="00A42906" w:rsidRPr="00A42906" w:rsidRDefault="00A42906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>
        <w:rPr>
          <w:rFonts w:ascii="Garamond" w:hAnsi="Garamond" w:cs="Calibri Light"/>
          <w:color w:val="000000"/>
          <w:lang w:val="en-GB"/>
        </w:rPr>
        <w:t xml:space="preserve">Iona Opie and Peter Opie, </w:t>
      </w:r>
      <w:r>
        <w:rPr>
          <w:rFonts w:ascii="Garamond" w:hAnsi="Garamond" w:cs="Calibri Light"/>
          <w:i/>
          <w:color w:val="000000"/>
          <w:lang w:val="en-GB"/>
        </w:rPr>
        <w:t>The Lore and Language of School Children</w:t>
      </w:r>
      <w:r>
        <w:rPr>
          <w:rFonts w:ascii="Garamond" w:hAnsi="Garamond" w:cs="Calibri Light"/>
          <w:color w:val="000000"/>
          <w:lang w:val="en-GB"/>
        </w:rPr>
        <w:t xml:space="preserve"> (Oxford: Oxford University Press, 1959).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Colin Ward,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The Child in the City </w:t>
      </w:r>
      <w:r w:rsidR="00A42906">
        <w:rPr>
          <w:rFonts w:ascii="Garamond" w:hAnsi="Garamond" w:cs="Calibri Light"/>
          <w:color w:val="000000"/>
          <w:lang w:val="en-GB"/>
        </w:rPr>
        <w:t>(New York: Pantheon, 1978</w:t>
      </w:r>
      <w:r w:rsidRPr="00A42906">
        <w:rPr>
          <w:rFonts w:ascii="Garamond" w:hAnsi="Garamond" w:cs="Calibri Light"/>
          <w:color w:val="000000"/>
          <w:lang w:val="en-GB"/>
        </w:rPr>
        <w:t>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Elliot West,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Growing Up with the Country: Childhood on the Far Western Frontier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Albuquerque: </w:t>
      </w:r>
      <w:r w:rsidRPr="00A42906">
        <w:rPr>
          <w:rFonts w:ascii="Garamond" w:hAnsi="Garamond" w:cs="Calibri Light"/>
          <w:color w:val="000000"/>
          <w:lang w:val="en-GB"/>
        </w:rPr>
        <w:t>University of New Mexico Press, 1989).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Tara Zahra,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 xml:space="preserve">The Lost Children: Reconstructing Europe’s Families After World War </w:t>
      </w:r>
      <w:r w:rsidR="00A42906">
        <w:rPr>
          <w:rFonts w:ascii="Garamond" w:hAnsi="Garamond" w:cs="Calibri Light"/>
          <w:i/>
          <w:iCs/>
          <w:color w:val="000000"/>
          <w:lang w:val="en-GB"/>
        </w:rPr>
        <w:t>I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I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 xml:space="preserve">Cambridge: </w:t>
      </w:r>
      <w:r w:rsidRPr="00A42906">
        <w:rPr>
          <w:rFonts w:ascii="Garamond" w:hAnsi="Garamond" w:cs="Calibri Light"/>
          <w:color w:val="000000"/>
          <w:lang w:val="en-GB"/>
        </w:rPr>
        <w:t xml:space="preserve">Harvard University Press, 2011). 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> </w:t>
      </w:r>
    </w:p>
    <w:p w:rsidR="00D64C01" w:rsidRPr="00A42906" w:rsidRDefault="00D64C01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  <w:r w:rsidRPr="00A42906">
        <w:rPr>
          <w:rFonts w:ascii="Garamond" w:hAnsi="Garamond" w:cs="Calibri Light"/>
          <w:color w:val="000000"/>
          <w:lang w:val="en-GB"/>
        </w:rPr>
        <w:t xml:space="preserve">Viviana A. Zelizer, </w:t>
      </w:r>
      <w:r w:rsidRPr="00A42906">
        <w:rPr>
          <w:rFonts w:ascii="Garamond" w:hAnsi="Garamond" w:cs="Calibri Light"/>
          <w:i/>
          <w:iCs/>
          <w:color w:val="000000"/>
          <w:lang w:val="en-GB"/>
        </w:rPr>
        <w:t>Pricing the Priceless Child: The Changing Social Value of Children</w:t>
      </w:r>
      <w:r w:rsidRPr="00A42906">
        <w:rPr>
          <w:rFonts w:ascii="Garamond" w:hAnsi="Garamond" w:cs="Calibri Light"/>
          <w:color w:val="000000"/>
          <w:lang w:val="en-GB"/>
        </w:rPr>
        <w:t xml:space="preserve"> (</w:t>
      </w:r>
      <w:r w:rsidR="00A42906">
        <w:rPr>
          <w:rFonts w:ascii="Garamond" w:hAnsi="Garamond" w:cs="Calibri Light"/>
          <w:color w:val="000000"/>
          <w:lang w:val="en-GB"/>
        </w:rPr>
        <w:t>New York: Basic Books, 1984</w:t>
      </w:r>
      <w:r w:rsidRPr="00A42906">
        <w:rPr>
          <w:rFonts w:ascii="Garamond" w:hAnsi="Garamond" w:cs="Calibri Light"/>
          <w:color w:val="000000"/>
          <w:lang w:val="en-GB"/>
        </w:rPr>
        <w:t xml:space="preserve">). </w:t>
      </w:r>
    </w:p>
    <w:p w:rsidR="004B3802" w:rsidRPr="00A42906" w:rsidRDefault="004B3802" w:rsidP="00A42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 Light"/>
          <w:color w:val="000000"/>
          <w:lang w:val="en-GB"/>
        </w:rPr>
      </w:pPr>
    </w:p>
    <w:sectPr w:rsidR="004B3802" w:rsidRPr="00A42906" w:rsidSect="00A42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0" w:gutter="0"/>
      <w:pgNumType w:start="1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85" w:rsidRDefault="00AF6B85" w:rsidP="000A6ED9">
      <w:r>
        <w:separator/>
      </w:r>
    </w:p>
  </w:endnote>
  <w:endnote w:type="continuationSeparator" w:id="0">
    <w:p w:rsidR="00AF6B85" w:rsidRDefault="00AF6B85" w:rsidP="000A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BB" w:rsidRDefault="00CB00B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BB" w:rsidRDefault="00CB00B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BB" w:rsidRDefault="00CB00B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85" w:rsidRDefault="00AF6B85" w:rsidP="000A6ED9">
      <w:r>
        <w:separator/>
      </w:r>
    </w:p>
  </w:footnote>
  <w:footnote w:type="continuationSeparator" w:id="0">
    <w:p w:rsidR="00AF6B85" w:rsidRDefault="00AF6B85" w:rsidP="000A6ED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D9" w:rsidRDefault="000A6ED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D9" w:rsidRDefault="000A6ED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D9" w:rsidRDefault="000A6E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5faf2zn2zsfle0pt95s0vsf2res9t95esa&quot;&gt;My EndNote Library&lt;record-ids&gt;&lt;item&gt;86&lt;/item&gt;&lt;/record-ids&gt;&lt;/item&gt;&lt;/Libraries&gt;"/>
  </w:docVars>
  <w:rsids>
    <w:rsidRoot w:val="004B3802"/>
    <w:rsid w:val="000006E4"/>
    <w:rsid w:val="000021AE"/>
    <w:rsid w:val="00040E64"/>
    <w:rsid w:val="00055FE1"/>
    <w:rsid w:val="00082A71"/>
    <w:rsid w:val="000A6ED9"/>
    <w:rsid w:val="000F5E60"/>
    <w:rsid w:val="00136B76"/>
    <w:rsid w:val="001605CF"/>
    <w:rsid w:val="00166A96"/>
    <w:rsid w:val="0017637A"/>
    <w:rsid w:val="001A1999"/>
    <w:rsid w:val="001B2A49"/>
    <w:rsid w:val="001F459E"/>
    <w:rsid w:val="002376CB"/>
    <w:rsid w:val="002379B9"/>
    <w:rsid w:val="00274AD2"/>
    <w:rsid w:val="002A1A28"/>
    <w:rsid w:val="002A7417"/>
    <w:rsid w:val="002D57B8"/>
    <w:rsid w:val="002F3B31"/>
    <w:rsid w:val="00316EB7"/>
    <w:rsid w:val="00323CF6"/>
    <w:rsid w:val="003442EF"/>
    <w:rsid w:val="00347DB7"/>
    <w:rsid w:val="00352BFB"/>
    <w:rsid w:val="00374C53"/>
    <w:rsid w:val="00387909"/>
    <w:rsid w:val="003B0171"/>
    <w:rsid w:val="003C1A1E"/>
    <w:rsid w:val="003E1ACA"/>
    <w:rsid w:val="003E4319"/>
    <w:rsid w:val="004A5E3B"/>
    <w:rsid w:val="004B3802"/>
    <w:rsid w:val="004F2360"/>
    <w:rsid w:val="00512DD4"/>
    <w:rsid w:val="0052677B"/>
    <w:rsid w:val="00563DC5"/>
    <w:rsid w:val="00585B0A"/>
    <w:rsid w:val="005901BE"/>
    <w:rsid w:val="005A4248"/>
    <w:rsid w:val="005B42D1"/>
    <w:rsid w:val="005D6F41"/>
    <w:rsid w:val="005D7AE8"/>
    <w:rsid w:val="005F52CD"/>
    <w:rsid w:val="00603AC9"/>
    <w:rsid w:val="006537DB"/>
    <w:rsid w:val="00663F9B"/>
    <w:rsid w:val="00670304"/>
    <w:rsid w:val="0068278C"/>
    <w:rsid w:val="006E7DF7"/>
    <w:rsid w:val="00712E9A"/>
    <w:rsid w:val="00735A36"/>
    <w:rsid w:val="00735A7E"/>
    <w:rsid w:val="007535FA"/>
    <w:rsid w:val="00757DF7"/>
    <w:rsid w:val="007A5679"/>
    <w:rsid w:val="007A7A16"/>
    <w:rsid w:val="007A7FE0"/>
    <w:rsid w:val="007F6CA3"/>
    <w:rsid w:val="0080466E"/>
    <w:rsid w:val="00810A8C"/>
    <w:rsid w:val="00816C0E"/>
    <w:rsid w:val="00817AFA"/>
    <w:rsid w:val="00865BBA"/>
    <w:rsid w:val="00866211"/>
    <w:rsid w:val="008740E2"/>
    <w:rsid w:val="008E4603"/>
    <w:rsid w:val="008F2076"/>
    <w:rsid w:val="00913C2F"/>
    <w:rsid w:val="00913C62"/>
    <w:rsid w:val="00972008"/>
    <w:rsid w:val="00976FF3"/>
    <w:rsid w:val="009B6B8A"/>
    <w:rsid w:val="009F2225"/>
    <w:rsid w:val="009F723D"/>
    <w:rsid w:val="00A04788"/>
    <w:rsid w:val="00A068E9"/>
    <w:rsid w:val="00A16D30"/>
    <w:rsid w:val="00A42906"/>
    <w:rsid w:val="00A65DEB"/>
    <w:rsid w:val="00A6750A"/>
    <w:rsid w:val="00AB5691"/>
    <w:rsid w:val="00AD4ADE"/>
    <w:rsid w:val="00AE7D66"/>
    <w:rsid w:val="00AF6B85"/>
    <w:rsid w:val="00B55374"/>
    <w:rsid w:val="00B72309"/>
    <w:rsid w:val="00B84FCF"/>
    <w:rsid w:val="00B85F61"/>
    <w:rsid w:val="00BA796F"/>
    <w:rsid w:val="00BB7255"/>
    <w:rsid w:val="00C00A92"/>
    <w:rsid w:val="00C231C6"/>
    <w:rsid w:val="00C27481"/>
    <w:rsid w:val="00C34CB1"/>
    <w:rsid w:val="00C8785F"/>
    <w:rsid w:val="00CB00BB"/>
    <w:rsid w:val="00D40BB8"/>
    <w:rsid w:val="00D64C01"/>
    <w:rsid w:val="00D67A04"/>
    <w:rsid w:val="00DA1F40"/>
    <w:rsid w:val="00DD7CF5"/>
    <w:rsid w:val="00DE4811"/>
    <w:rsid w:val="00DE77B5"/>
    <w:rsid w:val="00E14421"/>
    <w:rsid w:val="00E27D9F"/>
    <w:rsid w:val="00E71803"/>
    <w:rsid w:val="00E97EF9"/>
    <w:rsid w:val="00EA2FE4"/>
    <w:rsid w:val="00EB19B7"/>
    <w:rsid w:val="00EC6337"/>
    <w:rsid w:val="00EC70A3"/>
    <w:rsid w:val="00ED1188"/>
    <w:rsid w:val="00EE573B"/>
    <w:rsid w:val="00F02EB6"/>
    <w:rsid w:val="00F43EE9"/>
    <w:rsid w:val="00F53AFA"/>
    <w:rsid w:val="00F64FAA"/>
    <w:rsid w:val="00F662E7"/>
    <w:rsid w:val="00F853BB"/>
    <w:rsid w:val="00FB0C5D"/>
    <w:rsid w:val="00FC7689"/>
    <w:rsid w:val="00FE697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  <w:lang/>
    </w:rPr>
  </w:style>
  <w:style w:type="paragraph" w:styleId="Heading2">
    <w:name w:val="heading 2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  <w:lang/>
    </w:rPr>
  </w:style>
  <w:style w:type="paragraph" w:styleId="Heading3">
    <w:name w:val="heading 3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/>
    </w:rPr>
  </w:style>
  <w:style w:type="paragraph" w:styleId="Heading4">
    <w:name w:val="heading 4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hAnsi="Arial" w:cs="Arial"/>
      <w:color w:val="666666"/>
      <w:lang/>
    </w:rPr>
  </w:style>
  <w:style w:type="paragraph" w:styleId="Heading5">
    <w:name w:val="heading 5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/>
    </w:rPr>
  </w:style>
  <w:style w:type="paragraph" w:styleId="Heading6">
    <w:name w:val="heading 6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hAnsi="Arial" w:cs="Arial"/>
      <w:color w:val="000000"/>
      <w:sz w:val="52"/>
      <w:szCs w:val="52"/>
      <w:lang/>
    </w:rPr>
  </w:style>
  <w:style w:type="paragraph" w:styleId="Subtitle">
    <w:name w:val="Subtitle"/>
    <w:basedOn w:val="Normal"/>
    <w:next w:val="Normal"/>
    <w:rsid w:val="00C00A92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hAnsi="Arial" w:cs="Arial"/>
      <w:color w:val="666666"/>
      <w:sz w:val="30"/>
      <w:szCs w:val="30"/>
      <w:lang/>
    </w:rPr>
  </w:style>
  <w:style w:type="paragraph" w:styleId="Header">
    <w:name w:val="header"/>
    <w:basedOn w:val="Normal"/>
    <w:link w:val="HeaderChar"/>
    <w:uiPriority w:val="99"/>
    <w:unhideWhenUsed/>
    <w:rsid w:val="000A6ED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A6ED9"/>
  </w:style>
  <w:style w:type="paragraph" w:styleId="Footer">
    <w:name w:val="footer"/>
    <w:basedOn w:val="Normal"/>
    <w:link w:val="FooterChar"/>
    <w:uiPriority w:val="99"/>
    <w:unhideWhenUsed/>
    <w:rsid w:val="000A6ED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A6ED9"/>
  </w:style>
  <w:style w:type="character" w:customStyle="1" w:styleId="apple-converted-space">
    <w:name w:val="apple-converted-space"/>
    <w:basedOn w:val="DefaultParagraphFont"/>
    <w:rsid w:val="00585B0A"/>
  </w:style>
  <w:style w:type="paragraph" w:customStyle="1" w:styleId="EndNoteBibliographyTitle">
    <w:name w:val="EndNote Bibliography Title"/>
    <w:basedOn w:val="Normal"/>
    <w:rsid w:val="00F662E7"/>
    <w:pPr>
      <w:jc w:val="center"/>
    </w:pPr>
  </w:style>
  <w:style w:type="paragraph" w:customStyle="1" w:styleId="EndNoteBibliography">
    <w:name w:val="EndNote Bibliography"/>
    <w:basedOn w:val="Normal"/>
    <w:rsid w:val="00F662E7"/>
  </w:style>
  <w:style w:type="character" w:styleId="Hyperlink">
    <w:name w:val="Hyperlink"/>
    <w:basedOn w:val="DefaultParagraphFont"/>
    <w:uiPriority w:val="99"/>
    <w:unhideWhenUsed/>
    <w:rsid w:val="00A429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29149-E36C-BE4A-BDB7-3DFD3C90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6141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Sloan</cp:lastModifiedBy>
  <cp:revision>2</cp:revision>
  <cp:lastPrinted>2017-12-09T09:38:00Z</cp:lastPrinted>
  <dcterms:created xsi:type="dcterms:W3CDTF">2018-02-12T20:33:00Z</dcterms:created>
  <dcterms:modified xsi:type="dcterms:W3CDTF">2018-02-12T20:33:00Z</dcterms:modified>
</cp:coreProperties>
</file>