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color w:val="00000a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rtl w:val="0"/>
        </w:rPr>
        <w:t xml:space="preserve">HarmonicaUK secretary report 2025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color w:val="00000a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rtl w:val="0"/>
        </w:rPr>
        <w:t xml:space="preserve">As secretary I have continued to take care of HarmonicaUK’s compliance with Charity Commission rules. We are up-to-date with our charity commission reporting.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color w:val="00000a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rtl w:val="0"/>
        </w:rPr>
        <w:t xml:space="preserve">I am in the process of reviewing all existing policies and procedures and updating where necessary for approval with the committee once complete.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rtl w:val="0"/>
        </w:rPr>
        <w:t xml:space="preserve">We are members of The British and International Federation of Festivals, which brings the benefits of specialist insurance in place for our festivals, free DBS checks for volunteers and access to a wealth of online resources.  Simon Joy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rtl w:val="0"/>
        </w:rPr>
        <w:t xml:space="preserve">25/09/25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