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1E078" w14:textId="036771EB" w:rsidR="00DC4352" w:rsidRPr="00DC4352" w:rsidRDefault="00423129" w:rsidP="008E735B">
      <w:pPr>
        <w:pStyle w:val="Heading1"/>
        <w:jc w:val="center"/>
      </w:pPr>
      <w:r>
        <w:t>Exploring how s</w:t>
      </w:r>
      <w:r w:rsidR="00FE4E77">
        <w:t xml:space="preserve">ocial environment </w:t>
      </w:r>
      <w:proofErr w:type="gramStart"/>
      <w:r w:rsidR="00FE4E77">
        <w:t>moderates</w:t>
      </w:r>
      <w:proofErr w:type="gramEnd"/>
      <w:r w:rsidR="00FE4E77">
        <w:t xml:space="preserve"> </w:t>
      </w:r>
      <w:r>
        <w:t>production and perception of</w:t>
      </w:r>
      <w:r w:rsidR="000C1ECF">
        <w:t xml:space="preserve"> facial expressions</w:t>
      </w:r>
      <w:r w:rsidR="00FE4E77">
        <w:t xml:space="preserve"> in bonobos</w:t>
      </w:r>
    </w:p>
    <w:p w14:paraId="4FE7C1E3" w14:textId="7AF95E92" w:rsidR="00FD7CC0" w:rsidRPr="00FD7CC0" w:rsidRDefault="00FD7CC0" w:rsidP="00FD7CC0">
      <w:pPr>
        <w:jc w:val="center"/>
        <w:rPr>
          <w:b/>
          <w:bCs/>
        </w:rPr>
      </w:pPr>
      <w:r w:rsidRPr="00FD7CC0">
        <w:rPr>
          <w:b/>
          <w:bCs/>
        </w:rPr>
        <w:t>Rachel Robinson, Nottingham Trent University</w:t>
      </w:r>
    </w:p>
    <w:p w14:paraId="1030899E" w14:textId="77777777" w:rsidR="00422CBB" w:rsidRDefault="00422CBB" w:rsidP="00422CBB"/>
    <w:p w14:paraId="7D0984D3" w14:textId="1923895E" w:rsidR="00D01262" w:rsidRDefault="00D01262" w:rsidP="00D01262">
      <w:pPr>
        <w:pStyle w:val="Heading2"/>
      </w:pPr>
      <w:r>
        <w:t>Abstract</w:t>
      </w:r>
    </w:p>
    <w:p w14:paraId="49A3E338" w14:textId="7F4F7B0D" w:rsidR="00D01262" w:rsidRDefault="006C791D" w:rsidP="4A52C2FB">
      <w:pPr>
        <w:spacing w:after="160" w:line="257" w:lineRule="auto"/>
        <w:rPr>
          <w:rFonts w:eastAsia="Calibri" w:cs="Calibri"/>
          <w:color w:val="000000" w:themeColor="text1"/>
        </w:rPr>
      </w:pPr>
      <w:r w:rsidRPr="4A52C2FB">
        <w:rPr>
          <w:rFonts w:eastAsia="Calibri" w:cs="Calibri"/>
          <w:color w:val="000000" w:themeColor="text1"/>
        </w:rPr>
        <w:t>Facial expressions have historically been described as biologically based, hard-wired signals, which humans and animals are born understanding. More recently however, we find that human facial communication may be influenced by social and ecological factors, such as culture</w:t>
      </w:r>
      <w:r w:rsidR="00F355F3" w:rsidRPr="4A52C2FB">
        <w:rPr>
          <w:rFonts w:eastAsia="Calibri" w:cs="Calibri"/>
          <w:color w:val="000000" w:themeColor="text1"/>
        </w:rPr>
        <w:t>,</w:t>
      </w:r>
      <w:r w:rsidRPr="4A52C2FB">
        <w:rPr>
          <w:rFonts w:eastAsia="Calibri" w:cs="Calibri"/>
          <w:color w:val="000000" w:themeColor="text1"/>
        </w:rPr>
        <w:t xml:space="preserve"> family environmen</w:t>
      </w:r>
      <w:r w:rsidR="00F355F3" w:rsidRPr="4A52C2FB">
        <w:rPr>
          <w:rFonts w:eastAsia="Calibri" w:cs="Calibri"/>
          <w:color w:val="000000" w:themeColor="text1"/>
        </w:rPr>
        <w:t>t</w:t>
      </w:r>
      <w:r w:rsidRPr="4A52C2FB">
        <w:rPr>
          <w:rFonts w:eastAsia="Calibri" w:cs="Calibri"/>
          <w:color w:val="000000" w:themeColor="text1"/>
        </w:rPr>
        <w:t>, and social context</w:t>
      </w:r>
      <w:r w:rsidR="009951F4" w:rsidRPr="4A52C2FB">
        <w:rPr>
          <w:rFonts w:eastAsia="Calibri" w:cs="Calibri"/>
          <w:color w:val="000000" w:themeColor="text1"/>
        </w:rPr>
        <w:t>, s</w:t>
      </w:r>
      <w:r w:rsidRPr="4A52C2FB">
        <w:rPr>
          <w:rFonts w:eastAsia="Calibri" w:cs="Calibri"/>
          <w:color w:val="000000" w:themeColor="text1"/>
        </w:rPr>
        <w:t>haping how facial expressions are produced and perceived</w:t>
      </w:r>
      <w:r w:rsidR="009951F4" w:rsidRPr="4A52C2FB">
        <w:rPr>
          <w:rFonts w:eastAsia="Calibri" w:cs="Calibri"/>
          <w:color w:val="000000" w:themeColor="text1"/>
        </w:rPr>
        <w:t xml:space="preserve">. </w:t>
      </w:r>
      <w:r w:rsidR="00FE71BD" w:rsidRPr="4A52C2FB">
        <w:rPr>
          <w:rFonts w:eastAsia="Calibri" w:cs="Calibri"/>
          <w:color w:val="000000" w:themeColor="text1"/>
        </w:rPr>
        <w:t xml:space="preserve">This </w:t>
      </w:r>
      <w:r w:rsidR="48A500D4" w:rsidRPr="4A52C2FB">
        <w:rPr>
          <w:rFonts w:eastAsia="Calibri" w:cs="Calibri"/>
          <w:color w:val="000000" w:themeColor="text1"/>
        </w:rPr>
        <w:t>project</w:t>
      </w:r>
      <w:r w:rsidR="00FE71BD" w:rsidRPr="4A52C2FB">
        <w:rPr>
          <w:rFonts w:eastAsia="Calibri" w:cs="Calibri"/>
          <w:color w:val="000000" w:themeColor="text1"/>
        </w:rPr>
        <w:t xml:space="preserve"> aimed to </w:t>
      </w:r>
      <w:r w:rsidR="00B67291" w:rsidRPr="4A52C2FB">
        <w:rPr>
          <w:rFonts w:eastAsia="Calibri" w:cs="Calibri"/>
          <w:color w:val="000000" w:themeColor="text1"/>
        </w:rPr>
        <w:t>explore</w:t>
      </w:r>
      <w:r w:rsidR="00FE71BD" w:rsidRPr="4A52C2FB">
        <w:rPr>
          <w:rFonts w:eastAsia="Calibri" w:cs="Calibri"/>
          <w:color w:val="000000" w:themeColor="text1"/>
        </w:rPr>
        <w:t xml:space="preserve"> how </w:t>
      </w:r>
      <w:r w:rsidR="0082675D" w:rsidRPr="4A52C2FB">
        <w:rPr>
          <w:rFonts w:eastAsia="Calibri" w:cs="Calibri"/>
          <w:color w:val="000000" w:themeColor="text1"/>
        </w:rPr>
        <w:t>social environment moderates the production and perception of facial expressions in our closest living relatives, bonobos (</w:t>
      </w:r>
      <w:r w:rsidR="0082675D" w:rsidRPr="4A52C2FB">
        <w:rPr>
          <w:rFonts w:eastAsia="Calibri" w:cs="Calibri"/>
          <w:i/>
          <w:iCs/>
          <w:color w:val="000000" w:themeColor="text1"/>
        </w:rPr>
        <w:t>Pan paniscus</w:t>
      </w:r>
      <w:r w:rsidR="009B230F" w:rsidRPr="4A52C2FB">
        <w:rPr>
          <w:rFonts w:eastAsia="Calibri" w:cs="Calibri"/>
          <w:color w:val="000000" w:themeColor="text1"/>
        </w:rPr>
        <w:t>)</w:t>
      </w:r>
      <w:r w:rsidR="004D0B55" w:rsidRPr="4A52C2FB">
        <w:rPr>
          <w:rFonts w:eastAsia="Calibri" w:cs="Calibri"/>
          <w:color w:val="000000" w:themeColor="text1"/>
        </w:rPr>
        <w:t xml:space="preserve">. </w:t>
      </w:r>
      <w:r w:rsidR="41DA6628" w:rsidRPr="4A52C2FB">
        <w:rPr>
          <w:rFonts w:eastAsia="Calibri" w:cs="Calibri"/>
          <w:color w:val="000000" w:themeColor="text1"/>
        </w:rPr>
        <w:t>Study 1 explores the flexibility of facial expression production in individuals that migrate between different social groups during fission-fusion events. N</w:t>
      </w:r>
      <w:r w:rsidR="00D509A3" w:rsidRPr="4A52C2FB">
        <w:rPr>
          <w:rFonts w:eastAsia="Calibri" w:cs="Calibri"/>
          <w:color w:val="000000" w:themeColor="text1"/>
        </w:rPr>
        <w:t xml:space="preserve">atural social interactions were </w:t>
      </w:r>
      <w:r w:rsidR="009D609E" w:rsidRPr="4A52C2FB">
        <w:rPr>
          <w:rFonts w:eastAsia="Calibri" w:cs="Calibri"/>
          <w:color w:val="000000" w:themeColor="text1"/>
        </w:rPr>
        <w:t>observed</w:t>
      </w:r>
      <w:r w:rsidR="00D509A3" w:rsidRPr="4A52C2FB">
        <w:rPr>
          <w:rFonts w:eastAsia="Calibri" w:cs="Calibri"/>
          <w:color w:val="000000" w:themeColor="text1"/>
        </w:rPr>
        <w:t xml:space="preserve"> in a population </w:t>
      </w:r>
      <w:r w:rsidR="00B36949" w:rsidRPr="4A52C2FB">
        <w:rPr>
          <w:rFonts w:eastAsia="Calibri" w:cs="Calibri"/>
          <w:color w:val="000000" w:themeColor="text1"/>
        </w:rPr>
        <w:t>of bonobos (n=14) at Twycross Zoo, UK</w:t>
      </w:r>
      <w:r w:rsidR="00A21D94" w:rsidRPr="4A52C2FB">
        <w:rPr>
          <w:rFonts w:eastAsia="Calibri" w:cs="Calibri"/>
          <w:color w:val="000000" w:themeColor="text1"/>
        </w:rPr>
        <w:t xml:space="preserve"> and f</w:t>
      </w:r>
      <w:r w:rsidR="008D1E8E" w:rsidRPr="4A52C2FB">
        <w:rPr>
          <w:rFonts w:eastAsia="Calibri" w:cs="Calibri"/>
          <w:color w:val="000000" w:themeColor="text1"/>
        </w:rPr>
        <w:t xml:space="preserve">acial movements were </w:t>
      </w:r>
      <w:r w:rsidR="009D609E" w:rsidRPr="4A52C2FB">
        <w:rPr>
          <w:rFonts w:eastAsia="Calibri" w:cs="Calibri"/>
          <w:color w:val="000000" w:themeColor="text1"/>
        </w:rPr>
        <w:t xml:space="preserve">coded from video footage using </w:t>
      </w:r>
      <w:r w:rsidR="00A21D94" w:rsidRPr="4A52C2FB">
        <w:rPr>
          <w:rFonts w:eastAsia="Calibri" w:cs="Calibri"/>
          <w:color w:val="000000" w:themeColor="text1"/>
        </w:rPr>
        <w:t>BonoboFACS</w:t>
      </w:r>
      <w:r w:rsidR="00B36949" w:rsidRPr="4A52C2FB">
        <w:rPr>
          <w:rFonts w:eastAsia="Calibri" w:cs="Calibri"/>
          <w:color w:val="000000" w:themeColor="text1"/>
        </w:rPr>
        <w:t>.</w:t>
      </w:r>
      <w:r w:rsidR="00873F93" w:rsidRPr="4A52C2FB">
        <w:rPr>
          <w:rFonts w:eastAsia="Calibri" w:cs="Calibri"/>
          <w:color w:val="000000" w:themeColor="text1"/>
        </w:rPr>
        <w:t xml:space="preserve"> The population is managed using a zoo-assisted fission-fusion technique, resulting in continuously changing group compositions.</w:t>
      </w:r>
      <w:r w:rsidR="1FA2868F" w:rsidRPr="4A52C2FB">
        <w:rPr>
          <w:rFonts w:eastAsia="Calibri" w:cs="Calibri"/>
          <w:color w:val="000000" w:themeColor="text1"/>
        </w:rPr>
        <w:t xml:space="preserve"> Results of Study 1 are to be analysed.</w:t>
      </w:r>
      <w:r w:rsidR="00E30F6E" w:rsidRPr="4A52C2FB">
        <w:rPr>
          <w:rFonts w:eastAsia="Calibri" w:cs="Calibri"/>
          <w:color w:val="000000" w:themeColor="text1"/>
        </w:rPr>
        <w:t xml:space="preserve"> Study 2 combines e</w:t>
      </w:r>
      <w:r w:rsidR="00562078" w:rsidRPr="4A52C2FB">
        <w:rPr>
          <w:rFonts w:eastAsia="Calibri" w:cs="Calibri"/>
          <w:color w:val="000000" w:themeColor="text1"/>
        </w:rPr>
        <w:t>ye tracking data with behavioural methods</w:t>
      </w:r>
      <w:r w:rsidR="00B67291" w:rsidRPr="4A52C2FB">
        <w:rPr>
          <w:rFonts w:eastAsia="Calibri" w:cs="Calibri"/>
          <w:color w:val="000000" w:themeColor="text1"/>
        </w:rPr>
        <w:t xml:space="preserve"> to investigate </w:t>
      </w:r>
      <w:r w:rsidR="008310E8" w:rsidRPr="4A52C2FB">
        <w:rPr>
          <w:rFonts w:eastAsia="Calibri" w:cs="Calibri"/>
          <w:color w:val="000000" w:themeColor="text1"/>
        </w:rPr>
        <w:t>how bonobos attend to different play associated facial expressions</w:t>
      </w:r>
      <w:r w:rsidR="00150B78" w:rsidRPr="4A52C2FB">
        <w:rPr>
          <w:rFonts w:eastAsia="Calibri" w:cs="Calibri"/>
          <w:color w:val="000000" w:themeColor="text1"/>
        </w:rPr>
        <w:t>.</w:t>
      </w:r>
      <w:r w:rsidR="0031114E" w:rsidRPr="4A52C2FB">
        <w:rPr>
          <w:rFonts w:eastAsia="Calibri" w:cs="Calibri"/>
          <w:color w:val="000000" w:themeColor="text1"/>
        </w:rPr>
        <w:t xml:space="preserve"> </w:t>
      </w:r>
      <w:r w:rsidR="004A2A12" w:rsidRPr="4A52C2FB">
        <w:rPr>
          <w:rFonts w:eastAsia="Calibri" w:cs="Calibri"/>
          <w:color w:val="000000" w:themeColor="text1"/>
        </w:rPr>
        <w:t xml:space="preserve">Eight bonobos from </w:t>
      </w:r>
      <w:r w:rsidR="00E30F6E" w:rsidRPr="4A52C2FB">
        <w:rPr>
          <w:rFonts w:eastAsia="Calibri" w:cs="Calibri"/>
          <w:color w:val="000000" w:themeColor="text1"/>
        </w:rPr>
        <w:t xml:space="preserve">the </w:t>
      </w:r>
      <w:r w:rsidR="004A2A12" w:rsidRPr="4A52C2FB">
        <w:rPr>
          <w:rFonts w:eastAsia="Calibri" w:cs="Calibri"/>
          <w:color w:val="000000" w:themeColor="text1"/>
        </w:rPr>
        <w:t xml:space="preserve">population </w:t>
      </w:r>
      <w:r w:rsidR="00723D05" w:rsidRPr="4A52C2FB">
        <w:rPr>
          <w:rFonts w:eastAsia="Calibri" w:cs="Calibri"/>
          <w:color w:val="000000" w:themeColor="text1"/>
        </w:rPr>
        <w:t xml:space="preserve">at </w:t>
      </w:r>
      <w:r w:rsidR="004A2A12" w:rsidRPr="4A52C2FB">
        <w:rPr>
          <w:rFonts w:eastAsia="Calibri" w:cs="Calibri"/>
          <w:color w:val="000000" w:themeColor="text1"/>
        </w:rPr>
        <w:t>Twycross Zoo voluntarily participated in the</w:t>
      </w:r>
      <w:r w:rsidR="00723D05" w:rsidRPr="4A52C2FB">
        <w:rPr>
          <w:rFonts w:eastAsia="Calibri" w:cs="Calibri"/>
          <w:color w:val="000000" w:themeColor="text1"/>
        </w:rPr>
        <w:t xml:space="preserve"> eye tracking</w:t>
      </w:r>
      <w:r w:rsidR="004A2A12" w:rsidRPr="4A52C2FB">
        <w:rPr>
          <w:rFonts w:eastAsia="Calibri" w:cs="Calibri"/>
          <w:color w:val="000000" w:themeColor="text1"/>
        </w:rPr>
        <w:t xml:space="preserve"> study. </w:t>
      </w:r>
      <w:r w:rsidR="00DA3810" w:rsidRPr="4A52C2FB">
        <w:rPr>
          <w:rFonts w:eastAsia="Calibri" w:cs="Calibri"/>
          <w:color w:val="000000" w:themeColor="text1"/>
        </w:rPr>
        <w:t xml:space="preserve">To produce the stimuli, </w:t>
      </w:r>
      <w:r w:rsidR="00025651" w:rsidRPr="4A52C2FB">
        <w:rPr>
          <w:rFonts w:eastAsia="Calibri" w:cs="Calibri"/>
          <w:color w:val="000000" w:themeColor="text1"/>
        </w:rPr>
        <w:t>natural</w:t>
      </w:r>
      <w:r w:rsidR="00791A1E" w:rsidRPr="4A52C2FB">
        <w:rPr>
          <w:rFonts w:eastAsia="Calibri" w:cs="Calibri"/>
          <w:color w:val="000000" w:themeColor="text1"/>
        </w:rPr>
        <w:t xml:space="preserve"> </w:t>
      </w:r>
      <w:r w:rsidR="005C2389" w:rsidRPr="4A52C2FB">
        <w:rPr>
          <w:rFonts w:eastAsia="Calibri" w:cs="Calibri"/>
          <w:color w:val="000000" w:themeColor="text1"/>
        </w:rPr>
        <w:t xml:space="preserve">photographs of </w:t>
      </w:r>
      <w:r w:rsidR="00D26ACB" w:rsidRPr="4A52C2FB">
        <w:rPr>
          <w:rFonts w:eastAsia="Calibri" w:cs="Calibri"/>
          <w:color w:val="000000" w:themeColor="text1"/>
        </w:rPr>
        <w:t xml:space="preserve">four </w:t>
      </w:r>
      <w:r w:rsidR="005C2389" w:rsidRPr="4A52C2FB">
        <w:rPr>
          <w:rFonts w:eastAsia="Calibri" w:cs="Calibri"/>
          <w:color w:val="000000" w:themeColor="text1"/>
        </w:rPr>
        <w:t xml:space="preserve">familiar </w:t>
      </w:r>
      <w:r w:rsidR="00D26ACB" w:rsidRPr="4A52C2FB">
        <w:rPr>
          <w:rFonts w:eastAsia="Calibri" w:cs="Calibri"/>
          <w:color w:val="000000" w:themeColor="text1"/>
        </w:rPr>
        <w:t>bonobos</w:t>
      </w:r>
      <w:r w:rsidR="00DA3810" w:rsidRPr="4A52C2FB">
        <w:rPr>
          <w:rFonts w:eastAsia="Calibri" w:cs="Calibri"/>
          <w:color w:val="000000" w:themeColor="text1"/>
        </w:rPr>
        <w:t xml:space="preserve"> were</w:t>
      </w:r>
      <w:r w:rsidR="006C0FDF" w:rsidRPr="4A52C2FB">
        <w:rPr>
          <w:rFonts w:eastAsia="Calibri" w:cs="Calibri"/>
          <w:color w:val="000000" w:themeColor="text1"/>
        </w:rPr>
        <w:t xml:space="preserve"> digitally</w:t>
      </w:r>
      <w:r w:rsidR="00DA3810" w:rsidRPr="4A52C2FB">
        <w:rPr>
          <w:rFonts w:eastAsia="Calibri" w:cs="Calibri"/>
          <w:color w:val="000000" w:themeColor="text1"/>
        </w:rPr>
        <w:t xml:space="preserve"> merged</w:t>
      </w:r>
      <w:r w:rsidR="005C2389" w:rsidRPr="4A52C2FB">
        <w:rPr>
          <w:rFonts w:eastAsia="Calibri" w:cs="Calibri"/>
          <w:color w:val="000000" w:themeColor="text1"/>
        </w:rPr>
        <w:t xml:space="preserve"> with an avatar</w:t>
      </w:r>
      <w:r w:rsidR="00D26ACB" w:rsidRPr="4A52C2FB">
        <w:rPr>
          <w:rFonts w:eastAsia="Calibri" w:cs="Calibri"/>
          <w:color w:val="000000" w:themeColor="text1"/>
        </w:rPr>
        <w:t xml:space="preserve">, allowing us to manipulate the individual muscle movements </w:t>
      </w:r>
      <w:r w:rsidR="00CE05B4" w:rsidRPr="4A52C2FB">
        <w:rPr>
          <w:rFonts w:eastAsia="Calibri" w:cs="Calibri"/>
          <w:color w:val="000000" w:themeColor="text1"/>
        </w:rPr>
        <w:t>in the fac</w:t>
      </w:r>
      <w:r w:rsidR="003F6AAE" w:rsidRPr="4A52C2FB">
        <w:rPr>
          <w:rFonts w:eastAsia="Calibri" w:cs="Calibri"/>
          <w:color w:val="000000" w:themeColor="text1"/>
        </w:rPr>
        <w:t>e</w:t>
      </w:r>
      <w:r w:rsidR="008D059C" w:rsidRPr="4A52C2FB">
        <w:rPr>
          <w:rFonts w:eastAsia="Calibri" w:cs="Calibri"/>
          <w:color w:val="000000" w:themeColor="text1"/>
        </w:rPr>
        <w:t>. This created</w:t>
      </w:r>
      <w:r w:rsidR="00F50123" w:rsidRPr="4A52C2FB">
        <w:rPr>
          <w:rFonts w:eastAsia="Calibri" w:cs="Calibri"/>
          <w:color w:val="000000" w:themeColor="text1"/>
        </w:rPr>
        <w:t xml:space="preserve"> </w:t>
      </w:r>
      <w:r w:rsidR="009530DB" w:rsidRPr="4A52C2FB">
        <w:rPr>
          <w:rFonts w:eastAsia="Calibri" w:cs="Calibri"/>
          <w:color w:val="000000" w:themeColor="text1"/>
        </w:rPr>
        <w:t xml:space="preserve">104 stimuli with six </w:t>
      </w:r>
      <w:r w:rsidR="00351EA0" w:rsidRPr="4A52C2FB">
        <w:rPr>
          <w:rFonts w:eastAsia="Calibri" w:cs="Calibri"/>
          <w:color w:val="000000" w:themeColor="text1"/>
        </w:rPr>
        <w:t>different levels of expressivity</w:t>
      </w:r>
      <w:r w:rsidR="008D059C" w:rsidRPr="4A52C2FB">
        <w:rPr>
          <w:rFonts w:eastAsia="Calibri" w:cs="Calibri"/>
          <w:color w:val="000000" w:themeColor="text1"/>
        </w:rPr>
        <w:t>, and 581 eye tracking trials were completed</w:t>
      </w:r>
      <w:r w:rsidR="00F50123" w:rsidRPr="4A52C2FB">
        <w:rPr>
          <w:rFonts w:eastAsia="Calibri" w:cs="Calibri"/>
          <w:color w:val="000000" w:themeColor="text1"/>
        </w:rPr>
        <w:t>.</w:t>
      </w:r>
      <w:r w:rsidR="00720795" w:rsidRPr="4A52C2FB">
        <w:rPr>
          <w:rFonts w:eastAsia="Calibri" w:cs="Calibri"/>
          <w:color w:val="000000" w:themeColor="text1"/>
        </w:rPr>
        <w:t xml:space="preserve"> </w:t>
      </w:r>
      <w:r w:rsidR="28C343CA" w:rsidRPr="4A52C2FB">
        <w:rPr>
          <w:rFonts w:eastAsia="Calibri" w:cs="Calibri"/>
          <w:color w:val="000000" w:themeColor="text1"/>
        </w:rPr>
        <w:t>In Study 2, w</w:t>
      </w:r>
      <w:r w:rsidR="008023BC" w:rsidRPr="4A52C2FB">
        <w:rPr>
          <w:rFonts w:eastAsia="Calibri" w:cs="Calibri"/>
          <w:color w:val="000000" w:themeColor="text1"/>
        </w:rPr>
        <w:t xml:space="preserve">e found </w:t>
      </w:r>
      <w:r w:rsidR="00584895" w:rsidRPr="4A52C2FB">
        <w:rPr>
          <w:rFonts w:eastAsia="Calibri" w:cs="Calibri"/>
          <w:color w:val="000000" w:themeColor="text1"/>
        </w:rPr>
        <w:t xml:space="preserve">that </w:t>
      </w:r>
      <w:r w:rsidR="008023BC" w:rsidRPr="4A52C2FB">
        <w:rPr>
          <w:rFonts w:eastAsia="Calibri" w:cs="Calibri"/>
          <w:color w:val="000000" w:themeColor="text1"/>
        </w:rPr>
        <w:t xml:space="preserve">when </w:t>
      </w:r>
      <w:r w:rsidR="00A9691B">
        <w:t xml:space="preserve">individuals </w:t>
      </w:r>
      <w:r w:rsidR="7FA9462F">
        <w:t>were</w:t>
      </w:r>
      <w:r w:rsidR="00A9691B">
        <w:t xml:space="preserve"> </w:t>
      </w:r>
      <w:r w:rsidR="5F2C26D6">
        <w:t>housed with more</w:t>
      </w:r>
      <w:r w:rsidR="0235A58D">
        <w:t xml:space="preserve"> </w:t>
      </w:r>
      <w:r w:rsidR="009036E2">
        <w:t xml:space="preserve">playful </w:t>
      </w:r>
      <w:r w:rsidR="00A9691B">
        <w:t>groupmates their attention to more expressive pla</w:t>
      </w:r>
      <w:r w:rsidR="00584895">
        <w:t xml:space="preserve">y associated </w:t>
      </w:r>
      <w:r w:rsidR="00A9691B">
        <w:t>facial expressions</w:t>
      </w:r>
      <w:r w:rsidR="162B26B7">
        <w:t xml:space="preserve"> increased</w:t>
      </w:r>
      <w:r w:rsidR="005B01A3">
        <w:t xml:space="preserve">. </w:t>
      </w:r>
      <w:r w:rsidR="002A5B70">
        <w:t xml:space="preserve">These findings suggest that </w:t>
      </w:r>
      <w:r w:rsidR="009036E2">
        <w:t>facial expression processing</w:t>
      </w:r>
      <w:r w:rsidR="00133841">
        <w:t xml:space="preserve"> may be</w:t>
      </w:r>
      <w:r w:rsidR="0079299E">
        <w:t xml:space="preserve"> more</w:t>
      </w:r>
      <w:r w:rsidR="00133841">
        <w:t xml:space="preserve"> plastic </w:t>
      </w:r>
      <w:r w:rsidR="0079299E">
        <w:t>than previously thought</w:t>
      </w:r>
      <w:r w:rsidR="002D132B">
        <w:t xml:space="preserve"> </w:t>
      </w:r>
      <w:r w:rsidR="00133841">
        <w:t xml:space="preserve">and </w:t>
      </w:r>
      <w:r w:rsidR="002D132B">
        <w:t xml:space="preserve">could be </w:t>
      </w:r>
      <w:r w:rsidR="00133841">
        <w:t xml:space="preserve">adaptable to our social environment and experiences. </w:t>
      </w:r>
      <w:r w:rsidR="004A082B" w:rsidRPr="4A52C2FB">
        <w:rPr>
          <w:rFonts w:eastAsia="Calibri" w:cs="Calibri"/>
          <w:color w:val="000000" w:themeColor="text1"/>
        </w:rPr>
        <w:t>If production of signals is variable between individuals, then flexible processing of these signals may be advantageous to better navigate social interactions.</w:t>
      </w:r>
      <w:r w:rsidR="00AB14BF" w:rsidRPr="4A52C2FB">
        <w:rPr>
          <w:rFonts w:eastAsia="Calibri" w:cs="Calibri"/>
          <w:color w:val="000000" w:themeColor="text1"/>
        </w:rPr>
        <w:t xml:space="preserve"> Adapting your processing of facial signals depending on who you are currently surrounded by might be especially useful for species with fission-fusion dynamics and could benefit individuals migrating between social groups both in captivity and in the wild</w:t>
      </w:r>
      <w:r w:rsidR="00711D3E" w:rsidRPr="4A52C2FB">
        <w:rPr>
          <w:rFonts w:eastAsia="Calibri" w:cs="Calibri"/>
          <w:color w:val="000000" w:themeColor="text1"/>
        </w:rPr>
        <w:t>.</w:t>
      </w:r>
      <w:r w:rsidR="604EC4EA" w:rsidRPr="4A52C2FB">
        <w:rPr>
          <w:rFonts w:eastAsia="Calibri" w:cs="Calibri"/>
          <w:color w:val="000000" w:themeColor="text1"/>
        </w:rPr>
        <w:t xml:space="preserve"> </w:t>
      </w:r>
    </w:p>
    <w:p w14:paraId="37DA4F7D" w14:textId="572BF981" w:rsidR="00791757" w:rsidRDefault="00791757" w:rsidP="00791757">
      <w:pPr>
        <w:pStyle w:val="Heading2"/>
      </w:pPr>
      <w:r>
        <w:t>Introduction</w:t>
      </w:r>
    </w:p>
    <w:p w14:paraId="343CEE72" w14:textId="52FF5C41" w:rsidR="00FD4B53" w:rsidRDefault="005D4DFD" w:rsidP="00F5403E">
      <w:pPr>
        <w:rPr>
          <w:rFonts w:eastAsia="Calibri" w:cs="Calibri"/>
          <w:color w:val="000000" w:themeColor="text1"/>
        </w:rPr>
      </w:pPr>
      <w:r w:rsidRPr="00FA0A69">
        <w:rPr>
          <w:rFonts w:eastAsia="Calibri" w:cs="Calibri"/>
          <w:color w:val="000000" w:themeColor="text1"/>
        </w:rPr>
        <w:t xml:space="preserve">Facial expressions have historically been described as biologically based, hard-wired signals, </w:t>
      </w:r>
      <w:r>
        <w:rPr>
          <w:rFonts w:eastAsia="Calibri" w:cs="Calibri"/>
          <w:color w:val="000000" w:themeColor="text1"/>
        </w:rPr>
        <w:t>which</w:t>
      </w:r>
      <w:r w:rsidRPr="00FA0A69">
        <w:rPr>
          <w:rFonts w:eastAsia="Calibri" w:cs="Calibri"/>
          <w:color w:val="000000" w:themeColor="text1"/>
        </w:rPr>
        <w:t xml:space="preserve"> </w:t>
      </w:r>
      <w:r>
        <w:rPr>
          <w:rFonts w:eastAsia="Calibri" w:cs="Calibri"/>
          <w:color w:val="000000" w:themeColor="text1"/>
        </w:rPr>
        <w:t>humans and animals</w:t>
      </w:r>
      <w:r w:rsidRPr="00FA0A69">
        <w:rPr>
          <w:rFonts w:eastAsia="Calibri" w:cs="Calibri"/>
          <w:color w:val="000000" w:themeColor="text1"/>
        </w:rPr>
        <w:t xml:space="preserve"> are born understanding and</w:t>
      </w:r>
      <w:r>
        <w:rPr>
          <w:rFonts w:eastAsia="Calibri" w:cs="Calibri"/>
          <w:color w:val="000000" w:themeColor="text1"/>
        </w:rPr>
        <w:t xml:space="preserve"> that</w:t>
      </w:r>
      <w:r w:rsidRPr="00FA0A69">
        <w:rPr>
          <w:rFonts w:eastAsia="Calibri" w:cs="Calibri"/>
          <w:color w:val="000000" w:themeColor="text1"/>
        </w:rPr>
        <w:t xml:space="preserve"> do not adapt to change over time</w:t>
      </w:r>
      <w:r>
        <w:rPr>
          <w:rFonts w:eastAsia="Calibri" w:cs="Calibri"/>
          <w:color w:val="000000" w:themeColor="text1"/>
        </w:rPr>
        <w:t xml:space="preserve"> or across cultures</w:t>
      </w:r>
      <w:r w:rsidRPr="00FA0A69">
        <w:rPr>
          <w:rFonts w:eastAsia="Calibri" w:cs="Calibri"/>
          <w:color w:val="000000" w:themeColor="text1"/>
        </w:rPr>
        <w:t xml:space="preserve"> </w:t>
      </w:r>
      <w:r w:rsidRPr="00FA0A69">
        <w:rPr>
          <w:rFonts w:eastAsia="Calibri" w:cs="Calibri"/>
          <w:color w:val="000000" w:themeColor="text1"/>
        </w:rPr>
        <w:fldChar w:fldCharType="begin"/>
      </w:r>
      <w:r>
        <w:rPr>
          <w:rFonts w:eastAsia="Calibri" w:cs="Calibri"/>
          <w:color w:val="000000" w:themeColor="text1"/>
        </w:rPr>
        <w:instrText xml:space="preserve"> ADDIN ZOTERO_ITEM CSL_CITATION {"citationID":"u1n8HDhh","properties":{"formattedCitation":"(Darwin, 1872; Ekman et al., 1969; Izard, 1994; Tomkins, 1962)","plainCitation":"(Darwin, 1872; Ekman et al., 1969; Izard, 1994; Tomkins, 1962)","noteIndex":0},"citationItems":[{"id":116,"uris":["http://zotero.org/users/18724519/items/Q5QKH5FQ"],"itemData":{"id":116,"type":"book","abstract":"When this monograph was first published in 1872, there already existed a good deal of thought on facial expression via the study of physiognomy; this work, notes Charles Darwin (1809–82), was full of 'surprising nonsense'. Setting aside the assumption of previous studies that human facial muscles were created specifically for a range of expressions unique to the species, Darwin sets out here to make a systematic study of both human and animal expression. The range of his research is extraordinarily wide: he not only experimented on himself, but observed infants, consulted doctors in psychiatric hospitals and sent out requests to missionaries and travellers for first-hand notes on the expressions of aboriginal peoples. Learned, meticulous and illustrated with an impressive array of drawings, photographs and engravings, Darwin's work stands as an important contribution to the study of human behaviour and its origins.","collection-title":"Cambridge Library Collection - Darwin, Evolution and Genetics","DOI":"10.1017/CBO9781139833813","ISBN":"978-1-108-06183-4","language":"eng","publisher":"Cambridge University Press","source":"llr.primo.exlibrisgroup.com","title":"The Expression of the Emotions in Man and Animals","author":[{"family":"Darwin","given":"Charles"}],"issued":{"date-parts":[["1872"]]}}},{"id":205,"uris":["http://zotero.org/users/18724519/items/S5RWZEMF"],"itemData":{"id":205,"type":"article-journal","abstract":"Observers in both literate and preliterate cultures chose the predicted emotion for photographs of the face, although agreement was higher in the literate samples. These findings suggest that the pan-cultural element in facial displays of emotion is the association between facial muscular movements and discrete primary emotions, although cultures may still differ in what evokes an emotion, in rules for controlling the display of emotion, and in behavioral consequences.","container-title":"Science","DOI":"10.1126/science.164.3875.86","ISSN":"0036-8075","issue":"3875","language":"eng","page":"86–88","publisher":"AAAS","publisher-place":"United States","source":"llr.primo.exlibrisgroup.com","title":"Pan-Cultural Elements in Facial Displays of Emotion","volume":"164","author":[{"family":"Ekman","given":"Paul"},{"family":"Sorenson","given":"E. Richard"},{"family":"Friesen","given":"Wallace V."}],"issued":{"date-parts":[["1969"]]}}},{"id":128,"uris":["http://zotero.org/users/18724519/items/IXM2C8IK"],"itemData":{"id":128,"type":"article-journal","abstract":"The idea of innate and universal facial expressions that have links with human emotions was given the status of scientific hypothesis by\nDarwin (1872/1965)\n. Substantial evidence, old and new, supports his hypothesis. Much of the evidence is independent of language, but\nRussell's (1994)\ncriticisms of the hypothesis focus on language-dependent data. In this article, it is argued that Russell's critique was off target in that his arguments relate only to a hypothesis of the universality of semantic attributions and overstated in that he used questionable logic in designing studies to support his claims. It is also argued that Russell misinterpreted the relation between the universality hypothesis and differential emotions theory. Finally, new evidence is presented that supports the Darwinian hypothesis of the innateness and universality of the facial expressions of a limited set of emotions and the efficacy of the most commonly used method of testing it.","container-title":"Psychological bulletin","DOI":"10.1037/0033-2909.115.2.288","ISSN":"0033-2909","issue":"2","language":"eng","note":"publisher-place: Washington, DC","page":"288–299","publisher":"American Psychological Association","source":"llr.primo.exlibrisgroup.com","title":"Innate and Universal Facial Expressions: Evidence From Developmental and Cross-Cultural Research","title-short":"Innate and Universal Facial Expressions","volume":"115","author":[{"family":"Izard","given":"Carroll E."}],"issued":{"date-parts":[["1994"]]}}},{"id":204,"uris":["http://zotero.org/users/18724519/items/S335NRXR"],"itemData":{"id":204,"type":"book","publisher":"Springer publishing company","source":"Google Scholar","title":"Affect imagery consciousness: Volume I: The positive affects","title-short":"Affect imagery consciousness","URL":"https://books.google.com/books?hl=en&amp;lr=&amp;id=WIpgNerqaIkC&amp;oi=fnd&amp;pg=PR13&amp;dq=Tomkins+SS+(1962)+Affect,+Imagery,+and+Consciousness+(Springer,+New+York).&amp;ots=iEpeoOXE2o&amp;sig=02gd7_pvrHxBzvQNQ2fy1GIzzoA","author":[{"family":"Tomkins","given":"Silvan"}],"accessed":{"date-parts":[["2026",1,15]]},"issued":{"date-parts":[["1962"]]}}}],"schema":"https://github.com/citation-style-language/schema/raw/master/csl-citation.json"} </w:instrText>
      </w:r>
      <w:r w:rsidRPr="00FA0A69">
        <w:rPr>
          <w:rFonts w:eastAsia="Calibri" w:cs="Calibri"/>
          <w:color w:val="000000" w:themeColor="text1"/>
        </w:rPr>
        <w:fldChar w:fldCharType="separate"/>
      </w:r>
      <w:r>
        <w:rPr>
          <w:rFonts w:eastAsia="Calibri" w:cs="Calibri"/>
          <w:noProof/>
          <w:color w:val="000000" w:themeColor="text1"/>
        </w:rPr>
        <w:t>(Darwin, 1872; Ekman et al., 1969; Izard, 1994; Tomkins, 1962)</w:t>
      </w:r>
      <w:r w:rsidRPr="00FA0A69">
        <w:rPr>
          <w:rFonts w:eastAsia="Calibri" w:cs="Calibri"/>
          <w:color w:val="000000" w:themeColor="text1"/>
        </w:rPr>
        <w:fldChar w:fldCharType="end"/>
      </w:r>
      <w:r w:rsidRPr="00FA0A69">
        <w:rPr>
          <w:rFonts w:eastAsia="Calibri" w:cs="Calibri"/>
          <w:color w:val="000000" w:themeColor="text1"/>
        </w:rPr>
        <w:t>.</w:t>
      </w:r>
      <w:r>
        <w:rPr>
          <w:rFonts w:eastAsia="Calibri" w:cs="Calibri"/>
          <w:color w:val="000000" w:themeColor="text1"/>
        </w:rPr>
        <w:t xml:space="preserve"> More recently however, we find that human facial communication may </w:t>
      </w:r>
      <w:r>
        <w:rPr>
          <w:rFonts w:eastAsia="Calibri" w:cs="Calibri"/>
          <w:color w:val="000000" w:themeColor="text1"/>
        </w:rPr>
        <w:lastRenderedPageBreak/>
        <w:t xml:space="preserve">be influenced by social and ecological factors, such as culture </w:t>
      </w:r>
      <w:r>
        <w:rPr>
          <w:rFonts w:eastAsia="Calibri" w:cs="Calibri"/>
          <w:color w:val="000000" w:themeColor="text1"/>
        </w:rPr>
        <w:fldChar w:fldCharType="begin"/>
      </w:r>
      <w:r>
        <w:rPr>
          <w:rFonts w:eastAsia="Calibri" w:cs="Calibri"/>
          <w:color w:val="000000" w:themeColor="text1"/>
        </w:rPr>
        <w:instrText xml:space="preserve"> ADDIN ZOTERO_ITEM CSL_CITATION {"citationID":"2hMqKMaL","properties":{"formattedCitation":"(Camras et al., 2006; Jack, Caldara, et al., 2012)","plainCitation":"(Camras et al., 2006; Jack, Caldara, et al., 2012)","noteIndex":0},"citationItems":[{"id":25,"uris":["http://zotero.org/users/18724519/items/KWHQ9XWC","http://zotero.org/users/18724519/items/J5R94LXZ"],"itemData":{"id":25,"type":"article-journal","abstract":"This investigation extends previous research documenting differences in Chinese and European American infants' facial expressivity. Chinese girls adopted by European American families, nonadopted Mainland Chinese girls, nonadopted Chinese American girls, and nonadopted European American girls responded to emotionally evocative slides and an odor stimulus. European American girls smiled more than Mainland Chinese and Chinese American girls and scored higher than Mainland Chinese girls for disgust-related expressions and overall expressivity. Adopted Chinese girls produced more disgust-related expressions than Mainland Chinese girls. Self-reported maternal strictness, aggravation, positive expressiveness, and cultural identification correlated with children's facial responses, as did number of siblings and adults in the home. Results suggest that culture and family environment influences facial expressivity, creating differences among children of the same ethnicity.","container-title":"Emotion","DOI":"10.1037/1528-3542.6.1.103","ISSN":"1528-3542","issue":"1","language":"eng","note":"publisher-place: United States","page":"103–114","publisher":"American Psychological Association","source":"llr.primo.exlibrisgroup.com","title":"Culture, Ethnicity, and Children's Facial Expressions: A Study of European American, Mainland Chinese, Chinese American, and Adopted Chinese Girls","title-short":"Culture, Ethnicity, and Children's Facial Expressions","volume":"6","author":[{"family":"Camras","given":"Linda A."},{"family":"Chen","given":"Yinghe"},{"family":"Bakeman","given":"Roger"},{"family":"Norris","given":"Katherine"},{"family":"Cain","given":"Thomas R."}],"issued":{"date-parts":[["2006"]]}}},{"id":130,"uris":["http://zotero.org/users/18724519/items/VFSWR5LL"],"itemData":{"id":130,"type":"article-journal","abstract":"Facial expressions have long been considered the \"universal language of emotion.\" Yet consistent cultural differences in the recognition of facial expressions contradict such notions (e.g., R. E. Jack, C. Blais, C. Scheepers, P. G. Schyns, &amp; R. Caldara, 2009). Rather, culture-as an intricate system of social concepts and beliefs-could generate different expectations (i.e., internal representations) of facial expression signals. To investigate, they used a powerful psychophysical technique (reverse correlation) to estimate the observer-specific internal representations of the 6 basic facial expressio</w:instrText>
      </w:r>
      <w:r w:rsidRPr="00292026">
        <w:rPr>
          <w:rFonts w:eastAsia="Calibri" w:cs="Calibri"/>
          <w:color w:val="000000" w:themeColor="text1"/>
          <w:lang w:val="fr-FR"/>
        </w:rPr>
        <w:instrText xml:space="preserve">ns of emotion (i.e., happy, surprise, fear, disgust, anger, and sad) in two culturally distinct groups (i.e., Western Caucasian [WC] and East Asian [EA]). Using complementary statistical image analyses, cultural specificity was directly revealed in these representations. Specifically, whereas WC internal representations predominantly featured the eyebrows and mouth, EA internal representations showed a preference for expressive information in the eye region. Closer inspection of the EA observer preference revealed a surprising feature: changes of gaze direction, shown primarily among the EA group. For the first time, it is revealed directly that culture can finely shape the internal representations of common facial expressions of emotion, challenging notions of a biologically hardwired \"universal language of emotion.\"","container-title":"Journal of experimental psychology. General","DOI":"10.1037/a0023463","ISSN":"0096-3445","issue":"1","language":"eng","note":"publisher-place: Washington, DC","page":"19–25","publisher":"American Psychological Association","source":"llr.primo.exlibrisgroup.com","title":"Internal Representations Reveal Cultural Diversity in Expectations of Facial Expressions of Emotion","volume":"141","author":[{"family":"Jack","given":"Rachael E."},{"family":"Caldara","given":"Roberto"},{"family":"Schyns","given":"Philippe G."}],"issued":{"date-parts":[["2012"]]}}}],"schema":"https://github.com/citation-style-language/schema/raw/master/csl-citation.json"} </w:instrText>
      </w:r>
      <w:r>
        <w:rPr>
          <w:rFonts w:eastAsia="Calibri" w:cs="Calibri"/>
          <w:color w:val="000000" w:themeColor="text1"/>
        </w:rPr>
        <w:fldChar w:fldCharType="separate"/>
      </w:r>
      <w:r w:rsidRPr="00292026">
        <w:rPr>
          <w:rFonts w:eastAsia="Calibri" w:cs="Calibri"/>
          <w:noProof/>
          <w:color w:val="000000" w:themeColor="text1"/>
          <w:lang w:val="fr-FR"/>
        </w:rPr>
        <w:t>(Camras et al., 2006; Jack, Caldara, et al., 2012)</w:t>
      </w:r>
      <w:r>
        <w:rPr>
          <w:rFonts w:eastAsia="Calibri" w:cs="Calibri"/>
          <w:color w:val="000000" w:themeColor="text1"/>
        </w:rPr>
        <w:fldChar w:fldCharType="end"/>
      </w:r>
      <w:r w:rsidRPr="00292026">
        <w:rPr>
          <w:rFonts w:eastAsia="Calibri" w:cs="Calibri"/>
          <w:color w:val="000000" w:themeColor="text1"/>
          <w:lang w:val="fr-FR"/>
        </w:rPr>
        <w:t xml:space="preserve">, family environment </w:t>
      </w:r>
      <w:r>
        <w:rPr>
          <w:rFonts w:eastAsia="Calibri" w:cs="Calibri"/>
          <w:color w:val="000000" w:themeColor="text1"/>
        </w:rPr>
        <w:fldChar w:fldCharType="begin"/>
      </w:r>
      <w:r w:rsidRPr="00292026">
        <w:rPr>
          <w:rFonts w:eastAsia="Calibri" w:cs="Calibri"/>
          <w:color w:val="000000" w:themeColor="text1"/>
          <w:lang w:val="fr-FR"/>
        </w:rPr>
        <w:instrText xml:space="preserve"> ADDIN ZOTERO_ITEM CSL_CITATION {"citationID":"0R5gildO","properties":{"formattedCitation":"(Camras et al., 2006)","plainCitation":"(Camras et al., 2006)","noteIndex":0},"citationItems":[{"id":25,"uris":["http://zotero.org/users/18724519/items/KWHQ9XWC","http://zotero.org/users/18724519/items/J5R94LXZ"],"itemData":{"id":25,"type":"article-journal","abstract":"This investigation extends previous research documenting differences in Chinese and European American infants' facial expressivity. Chinese girls adopted by European American families, nonadopted Mainland Chinese girls, nonadopted Chinese American girls, and nonadopted European American girls responded to emotionally evocative slides and an odor stimulus. European American girls smiled more than Mainland Chinese and Chinese American girls and scored higher than Mainland Chinese girls for disgust-related expressions and overall expressivity. Adopted Chinese girls produced more disgust-related expressions than Mainland Chinese girls. Self-reported maternal strictness, aggravation, positive expressiveness, and cultural identification correlated with children's facial responses, as did number of siblings and adults in the home. Results suggest that culture and family environment influences facial expressivity, creating differences among children of the same ethnicity.","container-title":"Emotion","DOI":"10.1037/1528-3542.6.1.103","ISSN":"1528-3542","issue":"1","language":"eng","note":"publisher-place: United States","page":"103–114","publisher":"American Psychological Association","source":"llr.primo.exlibrisgroup.com","title":"Culture, Ethnicity, and Children's Facial Expressions: A Study of European American, Mainland Chinese, Chinese American, and Adopted Chinese Girls","title-short":"Culture, Ethnicity, and Children's Facial Expressions","volume":"6","author":[{"family":"Camras","given":"Linda A."},{"family":"Chen","given":"Yinghe"},{"family":"Bakeman","given":"Roger"},{"family":"Norris","given":"Katherine"},{"family":"Cain","given":"Thomas R."}],"issued":{"date-parts":[["2006"]]}}}],"schema":"https://github.com/citation-style-language/schema/raw/master/csl-citation.json"} </w:instrText>
      </w:r>
      <w:r>
        <w:rPr>
          <w:rFonts w:eastAsia="Calibri" w:cs="Calibri"/>
          <w:color w:val="000000" w:themeColor="text1"/>
        </w:rPr>
        <w:fldChar w:fldCharType="separate"/>
      </w:r>
      <w:r w:rsidRPr="00292026">
        <w:rPr>
          <w:rFonts w:eastAsia="Calibri" w:cs="Calibri"/>
          <w:noProof/>
          <w:color w:val="000000" w:themeColor="text1"/>
          <w:lang w:val="fr-FR"/>
        </w:rPr>
        <w:t>(Camras et al., 2006)</w:t>
      </w:r>
      <w:r>
        <w:rPr>
          <w:rFonts w:eastAsia="Calibri" w:cs="Calibri"/>
          <w:color w:val="000000" w:themeColor="text1"/>
        </w:rPr>
        <w:fldChar w:fldCharType="end"/>
      </w:r>
      <w:r w:rsidRPr="00292026">
        <w:rPr>
          <w:rFonts w:eastAsia="Calibri" w:cs="Calibri"/>
          <w:color w:val="000000" w:themeColor="text1"/>
          <w:lang w:val="fr-FR"/>
        </w:rPr>
        <w:t xml:space="preserve">, and the social context in which a face is presented </w:t>
      </w:r>
      <w:r w:rsidRPr="00F77CDA">
        <w:rPr>
          <w:rFonts w:eastAsia="Calibri" w:cs="Calibri"/>
          <w:color w:val="000000" w:themeColor="text1"/>
        </w:rPr>
        <w:fldChar w:fldCharType="begin"/>
      </w:r>
      <w:r w:rsidRPr="00292026">
        <w:rPr>
          <w:rFonts w:eastAsia="Calibri" w:cs="Calibri"/>
          <w:color w:val="000000" w:themeColor="text1"/>
          <w:lang w:val="fr-FR"/>
        </w:rPr>
        <w:instrText xml:space="preserve"> ADDIN ZOTERO_ITEM CSL_CITATION {"citationID":"6KQFGA80","properties":{"formattedCitation":"(Wieser &amp; Brosch, 2012)","plainCitation":"(Wieser &amp; Brosch, 2012)","noteIndex":0},"citationItems":[{"id":144,"uris":["http://zotero.org/users/18724519/items/JFX9F4LQ"],"itemData":{"id":144,"type":"article-journal","abstract":"Facial expressions are of eminent importance for social interaction as they convey information about other individuals' emotions and social intentions. According to the predominant \"basic emotion\" approach, the perception of emotion in faces is based on the rapid, automatic categorization of prototypical, universal expressions. Consequently, the perception of facial expressions has typically been investigated using isolated, de-contextualized, static pictures of facial expressions that maximize the distinction between categories. However, in everyday life, an individual's face is not perceived in isolation, but almost always appears within a situational context, which may arise from other people, the physical environment surrounding the face, as well as multichannel information from the sender. Furthermore, situational context may be provided by the perceiver, including already present social information gained from affective learning and implicit processing biases such as race bias. Thus, the perception of facial expressions is presumably always influenced by contextual variables. In t</w:instrText>
      </w:r>
      <w:r>
        <w:rPr>
          <w:rFonts w:eastAsia="Calibri" w:cs="Calibri"/>
          <w:color w:val="000000" w:themeColor="text1"/>
        </w:rPr>
        <w:instrText xml:space="preserve">his comprehensive review, we aim at (1) systematizing the contextual variables that may influence the perception of facial expressions and (2) summarizing experimental paradigms and findings that have been used to investigate these influences. The studies reviewed here demonstrate that perception and neural processing of facial expressions are substantially modified by contextual information, including verbal, visual, and auditory information presented together with the face as well as knowledge or processing biases already present in the observer. These findings further challenge the assumption of automatic, hardwired categorical emotion extraction mechanisms predicted by basic emotion theories. Taking into account a recent model on face processing, we discuss where and when these different contextual influences may take place, thus outlining potential avenues in future research.","container-title":"Frontiers in Psychology","DOI":"10.3389/fpsyg.2012.00471","ISSN":"1664-1078","language":"eng","note":"publisher-place: Switzerland","page":"471--","publisher":"Frontiers Media SA","source":"llr.primo.exlibrisgroup.com","title":"Faces in Context: A Review and Systematization of Contextual Influences on Affective Face Processing","title-short":"Faces in Context","volume":"3","author":[{"family":"Wieser","given":"Matthias J."},{"family":"Brosch","given":"Tobias"}],"issued":{"date-parts":[["2012"]]}}}],"schema":"https://github.com/citation-style-language/schema/raw/master/csl-citation.json"} </w:instrText>
      </w:r>
      <w:r w:rsidRPr="00F77CDA">
        <w:rPr>
          <w:rFonts w:eastAsia="Calibri" w:cs="Calibri"/>
          <w:color w:val="000000" w:themeColor="text1"/>
        </w:rPr>
        <w:fldChar w:fldCharType="separate"/>
      </w:r>
      <w:r w:rsidRPr="00F77CDA">
        <w:rPr>
          <w:rFonts w:eastAsia="Calibri" w:cs="Calibri"/>
          <w:noProof/>
          <w:color w:val="000000" w:themeColor="text1"/>
        </w:rPr>
        <w:t>(Wieser &amp; Brosch, 2012)</w:t>
      </w:r>
      <w:r w:rsidRPr="00F77CDA">
        <w:rPr>
          <w:rFonts w:eastAsia="Calibri" w:cs="Calibri"/>
          <w:color w:val="000000" w:themeColor="text1"/>
        </w:rPr>
        <w:fldChar w:fldCharType="end"/>
      </w:r>
      <w:r>
        <w:rPr>
          <w:rFonts w:eastAsia="Calibri" w:cs="Calibri"/>
          <w:color w:val="000000" w:themeColor="text1"/>
        </w:rPr>
        <w:t xml:space="preserve">, shaping </w:t>
      </w:r>
      <w:r w:rsidR="00AC33F2">
        <w:rPr>
          <w:rFonts w:eastAsia="Calibri" w:cs="Calibri"/>
          <w:color w:val="000000" w:themeColor="text1"/>
        </w:rPr>
        <w:t>how facial expressions are</w:t>
      </w:r>
      <w:r>
        <w:rPr>
          <w:rFonts w:eastAsia="Calibri" w:cs="Calibri"/>
          <w:color w:val="000000" w:themeColor="text1"/>
        </w:rPr>
        <w:t xml:space="preserve"> produced</w:t>
      </w:r>
      <w:r w:rsidR="00AC33F2">
        <w:rPr>
          <w:rFonts w:eastAsia="Calibri" w:cs="Calibri"/>
          <w:color w:val="000000" w:themeColor="text1"/>
        </w:rPr>
        <w:t xml:space="preserve"> and</w:t>
      </w:r>
      <w:r>
        <w:rPr>
          <w:rFonts w:eastAsia="Calibri" w:cs="Calibri"/>
          <w:color w:val="000000" w:themeColor="text1"/>
        </w:rPr>
        <w:t xml:space="preserve"> perceived </w:t>
      </w:r>
      <w:r>
        <w:rPr>
          <w:rFonts w:eastAsia="Calibri" w:cs="Calibri"/>
          <w:color w:val="000000" w:themeColor="text1"/>
        </w:rPr>
        <w:fldChar w:fldCharType="begin"/>
      </w:r>
      <w:r>
        <w:rPr>
          <w:rFonts w:eastAsia="Calibri" w:cs="Calibri"/>
          <w:color w:val="000000" w:themeColor="text1"/>
        </w:rPr>
        <w:instrText xml:space="preserve"> ADDIN ZOTERO_ITEM CSL_CITATION {"citationID":"GkTHG6ZD","properties":{"formattedCitation":"(Caldara, 2017; Geangu et al., 2016; Jack, Caldara, et al., 2012; Jack, Garrod, et al., 2012)","plainCitation":"(Caldara, 2017; Geangu et al., 2016; Jack, Caldara, et al., 2012; Jack, Garrod, et al., 2012)","noteIndex":0},"citationItems":[{"id":129,"uris":["http://zotero.org/users/18724519/items/JN9SGUJM"],"itemData":{"id":129,"type":"article-journal","abstract":"The human face transmits a wealth of signals that readily provide crucial information for social interactions, such as facial identity and emotional expression. Nonetheless, a fundamental question remains debated: Is face processing governed by universal perceptual processes? It has long been presumed that this is the case. However, over the past decade, our work at the Eye and Brain Mapping Laboratory has called into question this widely held assumption. We have investigated the eye movements of Western and Eastern observers across various face-processing tasks to determine the effect of culture on perceptual processing. Commonalities aside, we found that Westerners distribute local fixations across the eye and mouth regions, whereas Easterners preferentially deploy central, global fixations during face recognition. Moreover, during the recognition of facial expressions of emotion, Westerners fixate the mouth relatively more to discriminate across expressions, whereas Easterners favor the eye region. Both observations demonstrate that the face system relies on different strategies to perform a range of socially relevant face-processing tasks with comparable levels of efficiency. Overall, these cultural perceptual biases challenge the view that the processes dedicated to face processing are universal, favoring instead the existence of distinct, flexible strategies. The way humans perceive the world and process faces is determined by experience and environmental factors.","container-title":"Current Directions in Psychological Science","DOI":"10.1177/0963721417710036","ISSN":"0963-7214","issue":"3","language":"eng","note":"publisher-place: Los Angeles, CA","page":"249–255","publisher":"SAGE Publications","source":"llr.primo.exlibrisgroup.com","title":"Culture Reveals a Flexible System for Face Processing","volume":"26","author":[{"family":"Caldara","given":"Roberto"}],"issued":{"date-parts":[["2017"]]}}},{"id":134,"uris":["http://zotero.org/users/18724519/items/YRNC9HVF"],"itemData":{"id":134,"type":"article-journal","abstract":"Emotional facial expressions are thought to have evolved because they play a crucial role in species’ survival. From infancy, humans develop dedicated neural circuits [1] to exhibit and recognize a variety of facial expressions [2]. But there is increasing evidence that culture specifies when and how certain emotions can be expressed — social norms — and that the mature perceptual mechanisms used to transmit and decode the visual information from emotional signals differ between Western and Eastern adults [3–5]. Specifically, the mouth is more informative for transmitting emotional signals in Westerners and the eye region for Easterners [4], generating culture-specific fixation biases towards these features [5]. During development, it is recognized that cultural differences can be observed at the level of emotional reactivity and regulation [6], and to the culturally dominant modes of attention [7]. Nonetheless, to our knowledge no study has explored whether culture shapes the processing of facial emotional signals early in development. The data we report here show that, by 7 months, infants from both cultures visually discriminate facial expressions of emotion by relying on culturally distinct fixation strategies, resembling those used by the adults from the environment in which they develop [5].\nGeangu et al. report differences in the fixation patterns of Western and Eastern infants during the discrimination of facial expressions of emotion, supporting the view that culture shapes the perceptual strategies used to process biologically-relevant social signals from an early stage in life.","container-title":"Current Biology","DOI":"10.1016/j.cub.2016.05.072","ISSN":"0960-9822","issue":"14","language":"eng","note":"publisher-place: England","page":"R663–R664","publisher":"Elsevier Ltd","source":"llr.primo.exlibrisgroup.com","title":"Culture shapes 7-month-olds’ perceptual strategies in discriminating facial expressions of emotion","volume":"26","author":[{"family":"Geangu","given":"Elena"},{"family":"Ichikawa","given":"Hiroko"},{"family":"Lao","given":"Junpeng"},{"family":"Kanazawa","given":"So"},{"family":"Yamaguchi","given":"Masami K."},{"family":"Caldara","given":"Roberto"},{"family":"Turati","given":"Chiara"}],"issued":{"date-parts":[["2016"]]}}},{"id":130,"uris":["http://zotero.org/users/18724519/items/VFSWR5LL"],"itemData":{"id":130,"type":"article-journal","abstract":"Facial expressions have long been considered the \"universal language of emotion.\" Yet consistent cultural differences in the recognition of facial expressions contradict such notions (e.g., R. E. Jack, C. Blais, C. Scheepers, P. G. Schyns, &amp; R. Caldara, 2009). Rather, culture-as an intricate system of social concepts and beliefs-could generate different expectations (i.e., internal representations) of facial expression signals. To investigate, they used a powerful psychophysical technique (reverse correlation) to estimate the observer-specific internal representations of the 6 basic facial expressions of emotion (i.e., happy, surprise, fear, disgust, anger, and sad) in two culturally distinct groups (i.e., Western Caucasian [WC] and East Asian [EA]). Using complementary statistical image analyses, cultural specificity was directly revealed in these representations. Specifically, whereas WC internal representations predominantly featured the eyebrows and mouth, EA internal representations showed a preference for expressive information in the eye region. Closer inspection of the EA observer preference revealed a surprising feature: changes of gaze direction, shown primarily among the EA group. For the first time, it is revealed directly that culture can finely shape the internal representations of common facial expressions of emotion, challenging notions of a biologically hardwired \"universal language of emotion.\"","container-title":"Journal of experimental psychology. General","DOI":"10.1037/a0023463","ISSN":"0096-3445","issue":"1","language":"eng","note":"publisher-place: Washington, DC","page":"19–25","publisher":"American Psychological Association","source":"llr.primo.exlibrisgroup.com","title":"Internal Representations Reveal Cultural Diversity in Expectations of Facial Expressions of Emotion","volume":"141","author":[{"family":"Jack","given":"Rachael E."},{"family":"Caldara","given":"Roberto"},{"family":"Schyns","given":"Philippe G."}],"issued":{"date-parts":[["2012"]]}}},{"id":132,"uris":["http://zotero.org/users/18724519/items/2J3KRJVS"],"itemData":{"id":132,"type":"article-journal","abstract":"Since Darwin’s seminal works, the universality of facial expressions of emotion has remained one of the longest standing debates in the biological and social sciences. Briefly stated, the\n              universality hypothesis\n              claims that all humans communicate six basic internal emotional states (happy, surprise, fear, disgust, anger, and sad) using the same facial movements by virtue of their biological and evolutionary origins [Susskind JM, et al. (2008)\n              Nat Neurosci\n              11:843–850]. Here, we refute this assumed universality. Using a unique computer graphics platform that combines generative grammars [Chomsky N (1965) MIT Press, Cambridge, MA] with visual perception, we accessed the mind’s eye of 30 Western </w:instrText>
      </w:r>
      <w:r w:rsidRPr="00292026">
        <w:rPr>
          <w:rFonts w:eastAsia="Calibri" w:cs="Calibri"/>
          <w:color w:val="000000" w:themeColor="text1"/>
          <w:lang w:val="fr-FR"/>
        </w:rPr>
        <w:instrText xml:space="preserve">and Eastern culture individuals and reconstructed their mental representations of the six basic facial expressions of emotion. Cross-cultural comparisons of the mental representations challenge universality on two separate counts. First, whereas Westerners represent each of the six basic emotions with a distinct set of facial movements common to the group, Easterners do not. Second, Easterners represent emotional intensity with distinctive dynamic eye activity. By refuting the long-standing universality hypothesis, our data highlight the powerful influence of culture on shaping basic behaviors once considered biologically hardwired. Consequently, our data open a unique nature–nurture debate across broad fields from evolutionary psychology and social neuroscience to social networking via digital avatars.","container-title":"Proceedings of the National Academy of Sciences","DOI":"10.1073/pnas.1200155109","ISSN":"0027-8424, 1091-6490","issue":"19","journalAbbreviation":"Proc. Natl. Acad. Sci. U.S.A.","language":"en","page":"7241-7244","source":"DOI.org (Crossref)","title":"Facial expressions of emotion are not culturally universal","volume":"109","author":[{"family":"Jack","given":"Rachael E."},{"family":"Garrod","given":"Oliver G. B."},{"family":"Yu","given":"Hui"},{"family":"Caldara","given":"Roberto"},{"family":"Schyns","given":"Philippe G."}],"issued":{"date-parts":[["2012",5,8]]}}}],"schema":"https://github.com/citation-style-language/schema/raw/master/csl-citation.json"} </w:instrText>
      </w:r>
      <w:r>
        <w:rPr>
          <w:rFonts w:eastAsia="Calibri" w:cs="Calibri"/>
          <w:color w:val="000000" w:themeColor="text1"/>
        </w:rPr>
        <w:fldChar w:fldCharType="separate"/>
      </w:r>
      <w:r w:rsidRPr="00292026">
        <w:rPr>
          <w:rFonts w:eastAsia="Calibri" w:cs="Calibri"/>
          <w:noProof/>
          <w:color w:val="000000" w:themeColor="text1"/>
          <w:lang w:val="fr-FR"/>
        </w:rPr>
        <w:t>(Caldara, 2017; Geangu et al., 2016; Jack, Caldara, et al., 2012; Jack, Garrod, et al., 2012)</w:t>
      </w:r>
      <w:r>
        <w:rPr>
          <w:rFonts w:eastAsia="Calibri" w:cs="Calibri"/>
          <w:color w:val="000000" w:themeColor="text1"/>
        </w:rPr>
        <w:fldChar w:fldCharType="end"/>
      </w:r>
      <w:r w:rsidRPr="00292026">
        <w:rPr>
          <w:rFonts w:eastAsia="Calibri" w:cs="Calibri"/>
          <w:color w:val="000000" w:themeColor="text1"/>
          <w:lang w:val="fr-FR"/>
        </w:rPr>
        <w:t xml:space="preserve">. </w:t>
      </w:r>
      <w:r w:rsidR="00207DEF">
        <w:rPr>
          <w:rFonts w:eastAsia="Calibri" w:cs="Calibri"/>
          <w:color w:val="000000" w:themeColor="text1"/>
        </w:rPr>
        <w:t xml:space="preserve">Cultural differences have been found to correlate with differences in facial expression production in human children, such as smiling frequency, disgust-related expression frequency, and overall facial expressivity </w:t>
      </w:r>
      <w:r w:rsidR="00207DEF">
        <w:rPr>
          <w:rFonts w:eastAsia="Calibri" w:cs="Calibri"/>
          <w:color w:val="000000" w:themeColor="text1"/>
        </w:rPr>
        <w:fldChar w:fldCharType="begin"/>
      </w:r>
      <w:r w:rsidR="002B39BB">
        <w:rPr>
          <w:rFonts w:eastAsia="Calibri" w:cs="Calibri"/>
          <w:color w:val="000000" w:themeColor="text1"/>
        </w:rPr>
        <w:instrText xml:space="preserve"> ADDIN ZOTERO_ITEM CSL_CITATION {"citationID":"6G0mc5Bi","properties":{"formattedCitation":"(Camras et al., 2006)","plainCitation":"(Camras et al., 2006)","noteIndex":0},"citationItems":[{"id":25,"uris":["http://zotero.org/users/18724519/items/KWHQ9XWC","http://zotero.org/users/18724519/items/J5R94LXZ"],"itemData":{"id":25,"type":"article-journal","abstract":"This investigation extends previous research documenting differences in Chinese and European American infants' facial expressivity. Chinese girls adopted by European American families, nonadopted Mainland Chinese girls, nonadopted Chinese American girls, and nonadopted European American girls responded to emotionally evocative slides and an odor stimulus. European American girls smiled more than Mainland Chinese and Chinese American girls and scored higher than Mainland Chinese girls for disgust-related expressions and overall expressivity. Adopted Chinese girls produced more disgust-related expressions than Mainland Chinese girls. Self-reported maternal strictness, aggravation, positive expressiveness, and cultural identification correlated with children's facial responses, as did number of siblings and adults in the home. Results suggest that culture and family environment influences facial expressivity, creating differences among children of the same ethnicity.","container-title":"Emotion","DOI":"10.1037/1528-3542.6.1.103","ISSN":"1528-3542","issue":"1","language":"eng","note":"publisher-place: United States","page":"103–114","publisher":"American Psychological Association","source":"llr.primo.exlibrisgroup.com","title":"Culture, Ethnicity, and Children's Facial Expressions: A Study of European American, Mainland Chinese, Chinese American, and Adopted Chinese Girls","title-short":"Culture, Ethnicity, and Children's Facial Expressions","volume":"6","author":[{"family":"Camras","given":"Linda A."},{"family":"Chen","given":"Yinghe"},{"family":"Bakeman","given":"Roger"},{"family":"Norris","given":"Katherine"},{"family":"Cain","given":"Thomas R."}],"issued":{"date-parts":[["2006"]]}}}],"schema":"https://github.com/citation-style-language/schema/raw/master/csl-citation.json"} </w:instrText>
      </w:r>
      <w:r w:rsidR="00207DEF">
        <w:rPr>
          <w:rFonts w:eastAsia="Calibri" w:cs="Calibri"/>
          <w:color w:val="000000" w:themeColor="text1"/>
        </w:rPr>
        <w:fldChar w:fldCharType="separate"/>
      </w:r>
      <w:r w:rsidR="00207DEF">
        <w:rPr>
          <w:rFonts w:eastAsia="Calibri" w:cs="Calibri"/>
          <w:noProof/>
          <w:color w:val="000000" w:themeColor="text1"/>
        </w:rPr>
        <w:t>(Camras et al., 2006)</w:t>
      </w:r>
      <w:r w:rsidR="00207DEF">
        <w:rPr>
          <w:rFonts w:eastAsia="Calibri" w:cs="Calibri"/>
          <w:color w:val="000000" w:themeColor="text1"/>
        </w:rPr>
        <w:fldChar w:fldCharType="end"/>
      </w:r>
      <w:r w:rsidR="00207DEF">
        <w:rPr>
          <w:rFonts w:eastAsia="Calibri" w:cs="Calibri"/>
          <w:color w:val="000000" w:themeColor="text1"/>
        </w:rPr>
        <w:t>. This suggests that during early human development, facial expression produc</w:t>
      </w:r>
      <w:r w:rsidR="006F6191">
        <w:rPr>
          <w:rFonts w:eastAsia="Calibri" w:cs="Calibri"/>
          <w:color w:val="000000" w:themeColor="text1"/>
        </w:rPr>
        <w:t>tion is</w:t>
      </w:r>
      <w:r w:rsidR="00207DEF">
        <w:rPr>
          <w:rFonts w:eastAsia="Calibri" w:cs="Calibri"/>
          <w:color w:val="000000" w:themeColor="text1"/>
        </w:rPr>
        <w:t xml:space="preserve"> influenced by the expressions we observe </w:t>
      </w:r>
      <w:r w:rsidR="00BD0B72">
        <w:rPr>
          <w:rFonts w:eastAsia="Calibri" w:cs="Calibri"/>
          <w:color w:val="000000" w:themeColor="text1"/>
        </w:rPr>
        <w:t xml:space="preserve">and </w:t>
      </w:r>
      <w:r w:rsidR="00207DEF">
        <w:rPr>
          <w:rFonts w:eastAsia="Calibri" w:cs="Calibri"/>
          <w:color w:val="000000" w:themeColor="text1"/>
        </w:rPr>
        <w:t>the feedback that we receive on our expressions.</w:t>
      </w:r>
      <w:r w:rsidR="00A730B3">
        <w:rPr>
          <w:rFonts w:eastAsia="Calibri" w:cs="Calibri"/>
          <w:color w:val="000000" w:themeColor="text1"/>
        </w:rPr>
        <w:t xml:space="preserve"> </w:t>
      </w:r>
      <w:r>
        <w:rPr>
          <w:rFonts w:eastAsia="Calibri" w:cs="Calibri"/>
          <w:color w:val="000000" w:themeColor="text1"/>
        </w:rPr>
        <w:t xml:space="preserve">Culture has </w:t>
      </w:r>
      <w:r w:rsidR="00C458C3">
        <w:rPr>
          <w:rFonts w:eastAsia="Calibri" w:cs="Calibri"/>
          <w:color w:val="000000" w:themeColor="text1"/>
        </w:rPr>
        <w:t xml:space="preserve">also </w:t>
      </w:r>
      <w:r>
        <w:rPr>
          <w:rFonts w:eastAsia="Calibri" w:cs="Calibri"/>
          <w:color w:val="000000" w:themeColor="text1"/>
        </w:rPr>
        <w:t xml:space="preserve">been found to impact which regions of the face people look at more when observing facial expressions, with Western populations looking more often at the eyebrows and mouth, and people who are born and raised in China looking more at the eye region </w:t>
      </w:r>
      <w:r>
        <w:rPr>
          <w:rFonts w:eastAsia="Calibri" w:cs="Calibri"/>
          <w:color w:val="000000" w:themeColor="text1"/>
        </w:rPr>
        <w:fldChar w:fldCharType="begin"/>
      </w:r>
      <w:r>
        <w:rPr>
          <w:rFonts w:eastAsia="Calibri" w:cs="Calibri"/>
          <w:color w:val="000000" w:themeColor="text1"/>
        </w:rPr>
        <w:instrText xml:space="preserve"> ADDIN ZOTERO_ITEM CSL_CITATION {"citationID":"Zi1MJaOK","properties":{"formattedCitation":"(Jack, Caldara, et al., 2012)","plainCitation":"(Jack, Caldara, et al., 2012)","noteIndex":0},"citationItems":[{"id":130,"uris":["http://zotero.org/users/18724519/items/VFSWR5LL"],"itemData":{"id":130,"type":"article-journal","abstract":"Facial expressions have long been considered the \"universal language of emotion.\" Yet consistent cultural differences in the recognition of facial expressions contradict such notions (e.g., R. E. Jack, C. Blais, C. Scheepers, P. G. Schyns, &amp; R. Caldara, 2009). Rather, culture-as an intricate system of social concepts and beliefs-could generate different expectations (i.e., internal representations) of facial expression signals. To investigate, they used a powerful psychophysical technique (reverse correlation) to estimate the observer-specific internal representations of the 6 basic facial expressions of emotion (i.e., happy, surprise, fear, disgust, anger, and sad) in two culturally distinct groups (i.e., Western Caucasian [WC] and East Asian [EA]). Using complementary statistical image analyses, cultural specificity was directly revealed in these representations. Specifically, whereas WC internal representations predominantly featured the eyebrows and mouth, EA internal representations showed a preference for expressive information in the eye region. Closer inspection of the EA observer preference revealed a surprising feature: changes of gaze direction, shown primarily among the EA group. For the first time, it is revealed directly that culture can finely shape the internal representations of common facial expressions of emotion, challenging notions of a biologically hardwired \"universal language of emotion.\"","container-title":"Journal of experimental psychology. General","DOI":"10.1037/a0023463","ISSN":"0096-3445","issue":"1","language":"eng","note":"publisher-place: Washington, DC","page":"19–25","publisher":"American Psychological Association","source":"llr.primo.exlibrisgroup.com","title":"Internal Representations Reveal Cultural Diversity in Expectations of Facial Expressions of Emotion","volume":"141","author":[{"family":"Jack","given":"Rachael E."},{"family":"Caldara","given":"Roberto"},{"family":"Schyns","given":"Philippe G."}],"issued":{"date-parts":[["2012"]]}}}],"schema":"https://github.com/citation-style-language/schema/raw/master/csl-citation.json"} </w:instrText>
      </w:r>
      <w:r>
        <w:rPr>
          <w:rFonts w:eastAsia="Calibri" w:cs="Calibri"/>
          <w:color w:val="000000" w:themeColor="text1"/>
        </w:rPr>
        <w:fldChar w:fldCharType="separate"/>
      </w:r>
      <w:r>
        <w:rPr>
          <w:rFonts w:eastAsia="Calibri" w:cs="Calibri"/>
          <w:noProof/>
          <w:color w:val="000000" w:themeColor="text1"/>
        </w:rPr>
        <w:t>(Jack, Caldara, et al., 2012)</w:t>
      </w:r>
      <w:r>
        <w:rPr>
          <w:rFonts w:eastAsia="Calibri" w:cs="Calibri"/>
          <w:color w:val="000000" w:themeColor="text1"/>
        </w:rPr>
        <w:fldChar w:fldCharType="end"/>
      </w:r>
      <w:r>
        <w:rPr>
          <w:rFonts w:eastAsia="Calibri" w:cs="Calibri"/>
          <w:color w:val="000000" w:themeColor="text1"/>
        </w:rPr>
        <w:t xml:space="preserve">. These differences in gaze patterns can result in labelling facial expressions with different emotions </w:t>
      </w:r>
      <w:r>
        <w:rPr>
          <w:rFonts w:eastAsia="Calibri" w:cs="Calibri"/>
          <w:color w:val="000000" w:themeColor="text1"/>
        </w:rPr>
        <w:fldChar w:fldCharType="begin"/>
      </w:r>
      <w:r>
        <w:rPr>
          <w:rFonts w:eastAsia="Calibri" w:cs="Calibri"/>
          <w:color w:val="000000" w:themeColor="text1"/>
        </w:rPr>
        <w:instrText xml:space="preserve"> ADDIN ZOTERO_ITEM CSL_CITATION {"citationID":"Y3jTMa8b","properties":{"formattedCitation":"(Jack et al., 2009)","plainCitation":"(Jack et al., 2009)","noteIndex":0},"citationItems":[{"id":140,"uris":["http://zotero.org/users/18724519/items/Q83J329D"],"itemData":{"id":140,"type":"article-journal","abstract":"Central to all human interaction is the mutual understanding of emotions, achieved primarily by a set of biologically rooted social signals evolved for this purpose—facial expressions of emotion. Although facial expressions are widely considered to be the universal language of emotion\n[1–3], some negative facial expressions consistently elicit lower recognition levels among Eastern compared to Western groups (see\n[4] for a meta-analysis and\n[5, 6] for review). Here, focusing on the decoding of facial expression signals, we merge behavioral and computational analyses with novel spatiotemporal analyses of eye movements, showing that Eastern observers use a culture-specific decoding strategy that is inadequate to reliably distinguish universal facial expressions of “fear” and “disgust.” Rather than distributing their fixations evenly across the face as Westerners do, Eastern observers persistently fixate the eye region. Using a model information sampler, we demonstrate that by persistently fixating the eyes, Eastern observers sample ambiguous information, thus causing significant confusion. Our results question the universality of human facial expressions of emotion, highlighting their true complexity, with critical consequences for cross-cultural communication and globalization.","container-title":"Current biology","DOI":"10.1016/j.cub.2009.07.051","ISSN":"0960-9822","issue":"18","language":"eng","note":"publisher-place: England","page":"1543–1548","publisher":"Elsevier Inc","source":"llr.primo.exlibrisgroup.com","title":"Cultural Confusions Show that Facial Expressions Are Not Universal","volume":"19","author":[{"family":"Jack","given":"Rachael E."},{"family":"Blais","given":"Caroline"},{"family":"Scheepers","given":"Christoph"},{"family":"Schyns","given":"Philippe G."},{"family":"Caldara","given":"Roberto"}],"issued":{"date-parts":[["2009"]]}}}],"schema":"https://github.com/citation-style-language/schema/raw/master/csl-citation.json"} </w:instrText>
      </w:r>
      <w:r>
        <w:rPr>
          <w:rFonts w:eastAsia="Calibri" w:cs="Calibri"/>
          <w:color w:val="000000" w:themeColor="text1"/>
        </w:rPr>
        <w:fldChar w:fldCharType="separate"/>
      </w:r>
      <w:r>
        <w:rPr>
          <w:rFonts w:eastAsia="Calibri" w:cs="Calibri"/>
          <w:noProof/>
          <w:color w:val="000000" w:themeColor="text1"/>
        </w:rPr>
        <w:t>(Jack et al., 2009)</w:t>
      </w:r>
      <w:r>
        <w:rPr>
          <w:rFonts w:eastAsia="Calibri" w:cs="Calibri"/>
          <w:color w:val="000000" w:themeColor="text1"/>
        </w:rPr>
        <w:fldChar w:fldCharType="end"/>
      </w:r>
      <w:r>
        <w:rPr>
          <w:rFonts w:eastAsia="Calibri" w:cs="Calibri"/>
          <w:color w:val="000000" w:themeColor="text1"/>
        </w:rPr>
        <w:t>, suggesting that the same facial expression can have different meanings across cultures</w:t>
      </w:r>
      <w:r w:rsidR="009A1EA8">
        <w:rPr>
          <w:rFonts w:eastAsia="Calibri" w:cs="Calibri"/>
          <w:color w:val="000000" w:themeColor="text1"/>
        </w:rPr>
        <w:t xml:space="preserve">. </w:t>
      </w:r>
      <w:r>
        <w:rPr>
          <w:rFonts w:eastAsia="Calibri" w:cs="Calibri"/>
          <w:color w:val="000000" w:themeColor="text1"/>
        </w:rPr>
        <w:t xml:space="preserve">Therefore, facial expression </w:t>
      </w:r>
      <w:r w:rsidR="00A730B3">
        <w:rPr>
          <w:rFonts w:eastAsia="Calibri" w:cs="Calibri"/>
          <w:color w:val="000000" w:themeColor="text1"/>
        </w:rPr>
        <w:t xml:space="preserve">production and </w:t>
      </w:r>
      <w:r>
        <w:rPr>
          <w:rFonts w:eastAsia="Calibri" w:cs="Calibri"/>
          <w:color w:val="000000" w:themeColor="text1"/>
        </w:rPr>
        <w:t xml:space="preserve">perception may not be universal and </w:t>
      </w:r>
      <w:r w:rsidR="004D2BEF">
        <w:rPr>
          <w:rFonts w:eastAsia="Calibri" w:cs="Calibri"/>
          <w:color w:val="000000" w:themeColor="text1"/>
        </w:rPr>
        <w:t>are</w:t>
      </w:r>
      <w:r>
        <w:rPr>
          <w:rFonts w:eastAsia="Calibri" w:cs="Calibri"/>
          <w:color w:val="000000" w:themeColor="text1"/>
        </w:rPr>
        <w:t xml:space="preserve"> more likely to be flexible and adaptable to our environment.</w:t>
      </w:r>
    </w:p>
    <w:p w14:paraId="627D9232" w14:textId="77777777" w:rsidR="00F5403E" w:rsidRPr="00F5403E" w:rsidRDefault="00F5403E" w:rsidP="00F5403E">
      <w:pPr>
        <w:rPr>
          <w:rFonts w:eastAsia="Calibri" w:cs="Calibri"/>
          <w:color w:val="000000" w:themeColor="text1"/>
        </w:rPr>
      </w:pPr>
    </w:p>
    <w:p w14:paraId="63FEE9FB" w14:textId="185A8DDF" w:rsidR="00A519FD" w:rsidRDefault="00F5403E" w:rsidP="00F5403E">
      <w:pPr>
        <w:rPr>
          <w:rFonts w:eastAsia="Calibri" w:cs="Calibri"/>
          <w:color w:val="000000" w:themeColor="text1"/>
        </w:rPr>
      </w:pPr>
      <w:r>
        <w:rPr>
          <w:rFonts w:eastAsia="Calibri" w:cs="Calibri"/>
          <w:color w:val="000000" w:themeColor="text1"/>
        </w:rPr>
        <w:t xml:space="preserve">To fully understand the evolution and extent of this flexibility in facial expressions, it is informative to look at species beyond humans. </w:t>
      </w:r>
      <w:r w:rsidR="00A519FD">
        <w:rPr>
          <w:rFonts w:eastAsia="Calibri" w:cs="Calibri"/>
          <w:color w:val="000000" w:themeColor="text1"/>
        </w:rPr>
        <w:t>R</w:t>
      </w:r>
      <w:r w:rsidR="00471B0D">
        <w:rPr>
          <w:rFonts w:eastAsia="Calibri" w:cs="Calibri"/>
          <w:color w:val="000000" w:themeColor="text1"/>
        </w:rPr>
        <w:t>ecent r</w:t>
      </w:r>
      <w:r w:rsidR="00A519FD">
        <w:rPr>
          <w:rFonts w:eastAsia="Calibri" w:cs="Calibri"/>
          <w:color w:val="000000" w:themeColor="text1"/>
        </w:rPr>
        <w:t xml:space="preserve">esearch has demonstrated </w:t>
      </w:r>
      <w:r w:rsidR="00471B0D">
        <w:rPr>
          <w:rFonts w:eastAsia="Calibri" w:cs="Calibri"/>
          <w:color w:val="000000" w:themeColor="text1"/>
        </w:rPr>
        <w:t xml:space="preserve">that non-human </w:t>
      </w:r>
      <w:r w:rsidR="003E1787">
        <w:rPr>
          <w:rFonts w:eastAsia="Calibri" w:cs="Calibri"/>
          <w:color w:val="000000" w:themeColor="text1"/>
        </w:rPr>
        <w:t>primates’</w:t>
      </w:r>
      <w:r w:rsidR="00471B0D">
        <w:rPr>
          <w:rFonts w:eastAsia="Calibri" w:cs="Calibri"/>
          <w:color w:val="000000" w:themeColor="text1"/>
        </w:rPr>
        <w:t xml:space="preserve"> communi</w:t>
      </w:r>
      <w:r w:rsidR="00133A30">
        <w:rPr>
          <w:rFonts w:eastAsia="Calibri" w:cs="Calibri"/>
          <w:color w:val="000000" w:themeColor="text1"/>
        </w:rPr>
        <w:t xml:space="preserve">cation signals can be influenced by their social environment. </w:t>
      </w:r>
      <w:r w:rsidR="006A2002">
        <w:rPr>
          <w:rFonts w:eastAsia="Calibri" w:cs="Calibri"/>
          <w:color w:val="000000" w:themeColor="text1"/>
        </w:rPr>
        <w:t>For example, c</w:t>
      </w:r>
      <w:r w:rsidR="003E1787">
        <w:rPr>
          <w:rFonts w:eastAsia="Calibri" w:cs="Calibri"/>
          <w:color w:val="000000" w:themeColor="text1"/>
        </w:rPr>
        <w:t>him</w:t>
      </w:r>
      <w:r w:rsidR="00F31B3E">
        <w:rPr>
          <w:rFonts w:eastAsia="Calibri" w:cs="Calibri"/>
          <w:color w:val="000000" w:themeColor="text1"/>
        </w:rPr>
        <w:t xml:space="preserve">panzees </w:t>
      </w:r>
      <w:r w:rsidR="00B55C3F">
        <w:rPr>
          <w:rFonts w:eastAsia="Calibri" w:cs="Calibri"/>
          <w:color w:val="000000" w:themeColor="text1"/>
        </w:rPr>
        <w:t xml:space="preserve">from </w:t>
      </w:r>
      <w:r w:rsidR="00581867">
        <w:rPr>
          <w:rFonts w:eastAsia="Calibri" w:cs="Calibri"/>
          <w:color w:val="000000" w:themeColor="text1"/>
        </w:rPr>
        <w:t>neighbouring</w:t>
      </w:r>
      <w:r w:rsidR="00BD6E80">
        <w:rPr>
          <w:rFonts w:eastAsia="Calibri" w:cs="Calibri"/>
          <w:color w:val="000000" w:themeColor="text1"/>
        </w:rPr>
        <w:t xml:space="preserve"> populations show acoustic differences in their pant-hoots</w:t>
      </w:r>
      <w:r w:rsidR="002B39BB">
        <w:rPr>
          <w:rFonts w:eastAsia="Calibri" w:cs="Calibri"/>
          <w:color w:val="000000" w:themeColor="text1"/>
        </w:rPr>
        <w:t xml:space="preserve"> </w:t>
      </w:r>
      <w:r w:rsidR="002B39BB">
        <w:rPr>
          <w:rFonts w:eastAsia="Calibri" w:cs="Calibri"/>
          <w:color w:val="000000" w:themeColor="text1"/>
        </w:rPr>
        <w:fldChar w:fldCharType="begin"/>
      </w:r>
      <w:r w:rsidR="002B39BB">
        <w:rPr>
          <w:rFonts w:eastAsia="Calibri" w:cs="Calibri"/>
          <w:color w:val="000000" w:themeColor="text1"/>
        </w:rPr>
        <w:instrText xml:space="preserve"> ADDIN ZOTERO_ITEM CSL_CITATION {"citationID":"oEUidMBb","properties":{"formattedCitation":"(Crockford et al., 2004)","plainCitation":"(Crockford et al., 2004)","noteIndex":0},"citationItems":[{"id":41,"uris":["http://zotero.org/users/18724519/items/DRIL3GJE"],"itemData":{"id":41,"type":"article-journal","abstract":"AbstractVocal learning, where animals can modify the structure of their vocalizations as a result of experience, has been found in a range of birds and mammals. Although vocal learning is a fundamental aspect of developing spoken language, there is as yet little evidence that vocal learning occurs in primates. Here we examine whether vocal learning may occur in chimpanzees. We analysed whether wild male chimpanzees,Pan troglodytes verus,of four communities living in a similar habitat in the Taï Forest, Côte d'Ivoire, developed community specific pant hoots. If so, we expected males of three contiguous communities to have distinct pant hoots, while pant hoots of males from a fourth, distant community, located 70 km away, should only differ from those of the contiguous communities by chance. Our analysis confirmed these expectations. In addition, the acoustic distances between the pant hoots of pairs of individuals did not correlate with the genetic relatedness of those pairs, where genetic relatedness was determined using nuclear DNA analysis. Thus, neither habitat nor genetic differences accounted for the observation that there were acoustic differences in the pant hoot structure of males living in neighbouring communities, but not in those of males from a distant community. This suggests that chimpanzees may actively modify pant hoots to be different from their neighbours, providing support for the vocal learning hypothesis.","container-title":"Ethology","DOI":"10.1111/j.1439-0310.2004.00968.x","ISSN":"0179-1613","issue":"3","language":"eng","note":"publisher-place: Berlin, Germany","page":"221–243","publisher":"Blackwell Verlag, GmbH","source":"llr.primo.exlibrisgroup.com","title":"Wild Chimpanzees Produce Group-Specific Calls: a Case for Vocal Learning?","title-short":"Wild Chimpanzees Produce Group-Specific Calls","volume":"110","author":[{"family":"Crockford","given":"Catherine"},{"family":"Herbinger","given":"Ilka"},{"family":"Vigilant","given":"Linda"},{"family":"Boesch","given":"Christophe"}],"issued":{"date-parts":[["2004"]]}}}],"schema":"https://github.com/citation-style-language/schema/raw/master/csl-citation.json"} </w:instrText>
      </w:r>
      <w:r w:rsidR="002B39BB">
        <w:rPr>
          <w:rFonts w:eastAsia="Calibri" w:cs="Calibri"/>
          <w:color w:val="000000" w:themeColor="text1"/>
        </w:rPr>
        <w:fldChar w:fldCharType="separate"/>
      </w:r>
      <w:r w:rsidR="002B39BB">
        <w:rPr>
          <w:rFonts w:eastAsia="Calibri" w:cs="Calibri"/>
          <w:noProof/>
          <w:color w:val="000000" w:themeColor="text1"/>
        </w:rPr>
        <w:t>(Crockford et al., 2004)</w:t>
      </w:r>
      <w:r w:rsidR="002B39BB">
        <w:rPr>
          <w:rFonts w:eastAsia="Calibri" w:cs="Calibri"/>
          <w:color w:val="000000" w:themeColor="text1"/>
        </w:rPr>
        <w:fldChar w:fldCharType="end"/>
      </w:r>
      <w:r w:rsidR="002B39BB">
        <w:rPr>
          <w:rFonts w:eastAsia="Calibri" w:cs="Calibri"/>
          <w:color w:val="000000" w:themeColor="text1"/>
        </w:rPr>
        <w:t xml:space="preserve"> suggesting that</w:t>
      </w:r>
      <w:r w:rsidR="00490E39">
        <w:rPr>
          <w:rFonts w:eastAsia="Calibri" w:cs="Calibri"/>
          <w:color w:val="000000" w:themeColor="text1"/>
        </w:rPr>
        <w:t xml:space="preserve"> variation</w:t>
      </w:r>
      <w:r w:rsidR="002C215B">
        <w:rPr>
          <w:rFonts w:eastAsia="Calibri" w:cs="Calibri"/>
          <w:color w:val="000000" w:themeColor="text1"/>
        </w:rPr>
        <w:t xml:space="preserve"> in this signal</w:t>
      </w:r>
      <w:r w:rsidR="00490E39">
        <w:rPr>
          <w:rFonts w:eastAsia="Calibri" w:cs="Calibri"/>
          <w:color w:val="000000" w:themeColor="text1"/>
        </w:rPr>
        <w:t xml:space="preserve"> has a potential adaptive function to differentiate communication between neighbours</w:t>
      </w:r>
      <w:r w:rsidR="002C215B">
        <w:rPr>
          <w:rFonts w:eastAsia="Calibri" w:cs="Calibri"/>
          <w:color w:val="000000" w:themeColor="text1"/>
        </w:rPr>
        <w:t xml:space="preserve">. </w:t>
      </w:r>
      <w:r w:rsidR="006A2002">
        <w:rPr>
          <w:rFonts w:eastAsia="Calibri" w:cs="Calibri"/>
          <w:color w:val="000000" w:themeColor="text1"/>
        </w:rPr>
        <w:t xml:space="preserve">Furthermore, </w:t>
      </w:r>
      <w:r w:rsidR="00673FA9">
        <w:rPr>
          <w:rFonts w:eastAsia="Calibri" w:cs="Calibri"/>
          <w:color w:val="000000" w:themeColor="text1"/>
        </w:rPr>
        <w:t>whilst</w:t>
      </w:r>
      <w:r w:rsidR="00ED3F5E">
        <w:rPr>
          <w:rFonts w:eastAsia="Calibri" w:cs="Calibri"/>
          <w:color w:val="000000" w:themeColor="text1"/>
        </w:rPr>
        <w:t xml:space="preserve"> some</w:t>
      </w:r>
      <w:r w:rsidR="00673FA9">
        <w:rPr>
          <w:rFonts w:eastAsia="Calibri" w:cs="Calibri"/>
          <w:color w:val="000000" w:themeColor="text1"/>
        </w:rPr>
        <w:t xml:space="preserve"> gestur</w:t>
      </w:r>
      <w:r w:rsidR="00A56FDB">
        <w:rPr>
          <w:rFonts w:eastAsia="Calibri" w:cs="Calibri"/>
          <w:color w:val="000000" w:themeColor="text1"/>
        </w:rPr>
        <w:t xml:space="preserve">al signals seem to be universal across bonobo populations, some gestures </w:t>
      </w:r>
      <w:r w:rsidR="008124E7">
        <w:rPr>
          <w:rFonts w:eastAsia="Calibri" w:cs="Calibri"/>
          <w:color w:val="000000" w:themeColor="text1"/>
        </w:rPr>
        <w:t xml:space="preserve">are only present in </w:t>
      </w:r>
      <w:r w:rsidR="00EC083A">
        <w:rPr>
          <w:rFonts w:eastAsia="Calibri" w:cs="Calibri"/>
          <w:color w:val="000000" w:themeColor="text1"/>
        </w:rPr>
        <w:t>certain</w:t>
      </w:r>
      <w:r w:rsidR="008124E7">
        <w:rPr>
          <w:rFonts w:eastAsia="Calibri" w:cs="Calibri"/>
          <w:color w:val="000000" w:themeColor="text1"/>
        </w:rPr>
        <w:t xml:space="preserve"> populations</w:t>
      </w:r>
      <w:r w:rsidR="00090F1B">
        <w:rPr>
          <w:rFonts w:eastAsia="Calibri" w:cs="Calibri"/>
          <w:color w:val="000000" w:themeColor="text1"/>
        </w:rPr>
        <w:t xml:space="preserve"> </w:t>
      </w:r>
      <w:r w:rsidR="00090F1B">
        <w:rPr>
          <w:rFonts w:eastAsia="Calibri" w:cs="Calibri"/>
          <w:color w:val="000000" w:themeColor="text1"/>
        </w:rPr>
        <w:fldChar w:fldCharType="begin"/>
      </w:r>
      <w:r w:rsidR="00090F1B">
        <w:rPr>
          <w:rFonts w:eastAsia="Calibri" w:cs="Calibri"/>
          <w:color w:val="000000" w:themeColor="text1"/>
        </w:rPr>
        <w:instrText xml:space="preserve"> ADDIN ZOTERO_ITEM CSL_CITATION {"citationID":"Rftd13Et","properties":{"formattedCitation":"(Samuni et al., 2022)","plainCitation":"(Samuni et al., 2022)","noteIndex":0},"citationItems":[{"id":261,"uris":["http://zotero.org/users/18724519/items/N9T68JKD"],"itemData":{"id":261,"type":"article-journal","abstract":"AbstractComparative studies on tool technologies in extant primates, especially in our closest living relatives, offer a window into the evolutionary foundations of tool use in hominins. Whereas chimpanzee tool technology is well studied across populations, the scarcity of described tool technology in wild populations of our other closest living relative, the bonobo, is a mystery. Here we provide a first report of the tool use repertoire of the Kokolopori bonobos and describe in detail the use of leaf</w:instrText>
      </w:r>
      <w:r w:rsidR="00090F1B">
        <w:rPr>
          <w:rFonts w:ascii="Cambria Math" w:eastAsia="Calibri" w:hAnsi="Cambria Math" w:cs="Cambria Math"/>
          <w:color w:val="000000" w:themeColor="text1"/>
        </w:rPr>
        <w:instrText>‐</w:instrText>
      </w:r>
      <w:r w:rsidR="00090F1B">
        <w:rPr>
          <w:rFonts w:eastAsia="Calibri" w:cs="Calibri"/>
          <w:color w:val="000000" w:themeColor="text1"/>
        </w:rPr>
        <w:instrText>umbrellas during rainfall, with the aim to improve our knowledge of bonobo tool use capacity in the wild. The tool use repertoire of the Kokolopori bonobos was most similar to that of the nearby population of Wamba and comprised eight behaviors, none in a foraging context. Further, over a 6</w:instrText>
      </w:r>
      <w:r w:rsidR="00090F1B">
        <w:rPr>
          <w:rFonts w:ascii="Cambria Math" w:eastAsia="Calibri" w:hAnsi="Cambria Math" w:cs="Cambria Math"/>
          <w:color w:val="000000" w:themeColor="text1"/>
        </w:rPr>
        <w:instrText>‐</w:instrText>
      </w:r>
      <w:r w:rsidR="00090F1B">
        <w:rPr>
          <w:rFonts w:eastAsia="Calibri" w:cs="Calibri"/>
          <w:color w:val="000000" w:themeColor="text1"/>
        </w:rPr>
        <w:instrText>month period we documented 44 instances of leaf</w:instrText>
      </w:r>
      <w:r w:rsidR="00090F1B">
        <w:rPr>
          <w:rFonts w:ascii="Cambria Math" w:eastAsia="Calibri" w:hAnsi="Cambria Math" w:cs="Cambria Math"/>
          <w:color w:val="000000" w:themeColor="text1"/>
        </w:rPr>
        <w:instrText>‐</w:instrText>
      </w:r>
      <w:r w:rsidR="00090F1B">
        <w:rPr>
          <w:rFonts w:eastAsia="Calibri" w:cs="Calibri"/>
          <w:color w:val="000000" w:themeColor="text1"/>
        </w:rPr>
        <w:instrText>umbrella use by 22 individuals from three communities, suggesting that this behavior is habitual. Most leaf</w:instrText>
      </w:r>
      <w:r w:rsidR="00090F1B">
        <w:rPr>
          <w:rFonts w:ascii="Cambria Math" w:eastAsia="Calibri" w:hAnsi="Cambria Math" w:cs="Cambria Math"/>
          <w:color w:val="000000" w:themeColor="text1"/>
        </w:rPr>
        <w:instrText>‐</w:instrText>
      </w:r>
      <w:r w:rsidR="00090F1B">
        <w:rPr>
          <w:rFonts w:eastAsia="Calibri" w:cs="Calibri"/>
          <w:color w:val="000000" w:themeColor="text1"/>
        </w:rPr>
        <w:instrText>umbrella tool users were adult females, and we observed a nonadult using a leaf</w:instrText>
      </w:r>
      <w:r w:rsidR="00090F1B">
        <w:rPr>
          <w:rFonts w:ascii="Cambria Math" w:eastAsia="Calibri" w:hAnsi="Cambria Math" w:cs="Cambria Math"/>
          <w:color w:val="000000" w:themeColor="text1"/>
        </w:rPr>
        <w:instrText>‐</w:instrText>
      </w:r>
      <w:r w:rsidR="00090F1B">
        <w:rPr>
          <w:rFonts w:eastAsia="Calibri" w:cs="Calibri"/>
          <w:color w:val="000000" w:themeColor="text1"/>
        </w:rPr>
        <w:instrText xml:space="preserve">umbrella on only a single occasion. While the study and theory of tool technologies is often based on the use of tools in foraging tasks, tool use in bonobos typically occurs in nonforaging contexts across populations. Therefore, incorporating both foraging and nonforaging contexts into our theoretical framework is essential if we wish to advance our understanding of the evolutionary trajectories of tool technology in humans.","container-title":"American Journal of Primatology","DOI":"10.1002/ajp.23342","ISSN":"0275-2565","issue":"1","language":"eng","page":"e23342–n/a","publisher":"Wiley","publisher-place":"United States","source":"llr.primo.exlibrisgroup.com","title":"Tool use behavior in three wild bonobo communities at Kokolopori","volume":"84","author":[{"family":"Samuni","given":"Liran"},{"family":"Lemieux","given":"David"},{"family":"Lamb","given":"Alicia"},{"family":"Galdino","given":"Daiane"},{"family":"Surbeck","given":"Martin"}],"issued":{"date-parts":[["2022"]]}}}],"schema":"https://github.com/citation-style-language/schema/raw/master/csl-citation.json"} </w:instrText>
      </w:r>
      <w:r w:rsidR="00090F1B">
        <w:rPr>
          <w:rFonts w:eastAsia="Calibri" w:cs="Calibri"/>
          <w:color w:val="000000" w:themeColor="text1"/>
        </w:rPr>
        <w:fldChar w:fldCharType="separate"/>
      </w:r>
      <w:r w:rsidR="00090F1B">
        <w:rPr>
          <w:rFonts w:eastAsia="Calibri" w:cs="Calibri"/>
          <w:noProof/>
          <w:color w:val="000000" w:themeColor="text1"/>
        </w:rPr>
        <w:t>(Samuni et al., 2022)</w:t>
      </w:r>
      <w:r w:rsidR="00090F1B">
        <w:rPr>
          <w:rFonts w:eastAsia="Calibri" w:cs="Calibri"/>
          <w:color w:val="000000" w:themeColor="text1"/>
        </w:rPr>
        <w:fldChar w:fldCharType="end"/>
      </w:r>
      <w:r w:rsidR="00090F1B">
        <w:rPr>
          <w:rFonts w:eastAsia="Calibri" w:cs="Calibri"/>
          <w:color w:val="000000" w:themeColor="text1"/>
        </w:rPr>
        <w:t>.</w:t>
      </w:r>
      <w:r w:rsidR="008124E7">
        <w:rPr>
          <w:rFonts w:eastAsia="Calibri" w:cs="Calibri"/>
          <w:color w:val="000000" w:themeColor="text1"/>
        </w:rPr>
        <w:t xml:space="preserve"> </w:t>
      </w:r>
      <w:r w:rsidR="00882DA5">
        <w:rPr>
          <w:rFonts w:eastAsia="Calibri" w:cs="Calibri"/>
          <w:color w:val="000000" w:themeColor="text1"/>
        </w:rPr>
        <w:t xml:space="preserve">This suggests that </w:t>
      </w:r>
      <w:r w:rsidR="006C05F0">
        <w:rPr>
          <w:rFonts w:eastAsia="Calibri" w:cs="Calibri"/>
          <w:color w:val="000000" w:themeColor="text1"/>
        </w:rPr>
        <w:t xml:space="preserve">non-human </w:t>
      </w:r>
      <w:proofErr w:type="gramStart"/>
      <w:r w:rsidR="006C05F0">
        <w:rPr>
          <w:rFonts w:eastAsia="Calibri" w:cs="Calibri"/>
          <w:color w:val="000000" w:themeColor="text1"/>
        </w:rPr>
        <w:t>primates</w:t>
      </w:r>
      <w:proofErr w:type="gramEnd"/>
      <w:r w:rsidR="006C05F0">
        <w:rPr>
          <w:rFonts w:eastAsia="Calibri" w:cs="Calibri"/>
          <w:color w:val="000000" w:themeColor="text1"/>
        </w:rPr>
        <w:t xml:space="preserve"> production of communication signals can be influenced by their social environment, however</w:t>
      </w:r>
      <w:r w:rsidR="00E1681E">
        <w:rPr>
          <w:rFonts w:eastAsia="Calibri" w:cs="Calibri"/>
          <w:color w:val="000000" w:themeColor="text1"/>
        </w:rPr>
        <w:t>, it is currently unknown whether this is also true for facial expressions</w:t>
      </w:r>
      <w:r w:rsidR="008A1656">
        <w:rPr>
          <w:rFonts w:eastAsia="Calibri" w:cs="Calibri"/>
          <w:color w:val="000000" w:themeColor="text1"/>
        </w:rPr>
        <w:t>.</w:t>
      </w:r>
    </w:p>
    <w:p w14:paraId="0AE58DED" w14:textId="77777777" w:rsidR="00A519FD" w:rsidRDefault="00A519FD" w:rsidP="00F5403E">
      <w:pPr>
        <w:rPr>
          <w:rFonts w:eastAsia="Calibri" w:cs="Calibri"/>
          <w:color w:val="000000" w:themeColor="text1"/>
        </w:rPr>
      </w:pPr>
    </w:p>
    <w:p w14:paraId="1787E216" w14:textId="5B049D2A" w:rsidR="00F5403E" w:rsidRDefault="00F5403E" w:rsidP="00F5403E">
      <w:r>
        <w:rPr>
          <w:rFonts w:eastAsia="Calibri" w:cs="Calibri"/>
          <w:color w:val="000000" w:themeColor="text1"/>
        </w:rPr>
        <w:t>Recent technological advances have made it possible for us to comprehensively investigate the perceptual processes of non-human primates with e</w:t>
      </w:r>
      <w:r>
        <w:t>ye tracking technology</w:t>
      </w:r>
      <w:r w:rsidR="00251F66">
        <w:t xml:space="preserve"> </w:t>
      </w:r>
      <w:r w:rsidR="00251F66">
        <w:fldChar w:fldCharType="begin"/>
      </w:r>
      <w:r w:rsidR="00D73AD3">
        <w:instrText xml:space="preserve"> ADDIN ZOTERO_ITEM CSL_CITATION {"citationID":"Gq96qYLl","properties":{"formattedCitation":"(Hopper et al., 2021)","plainCitation":"(Hopper et al., 2021)","noteIndex":0},"citationItems":[{"id":95,"uris":["http://zotero.org/users/18724519/items/BYIDJFIT"],"itemData":{"id":95,"type":"article-journal","abstract":"Over the past 50 years there has been a strong interest in applying eye-tracking techniques to study a myriad of questions related to human and nonhuman primate psychological processes. Eye movements and fixations can provide qualitative and quantitative insights into cognitive processes of nonverbal populations such as nonhuman primates, clarifying the evolutionary, physiological, and representational underpinnings of human cognition. While early attempts at nonhuman primate eye tracking were relatively crude, later, more sophisticated and sensitive techniques required invasive protocols and the use of restraint. In the past decade, technology has advanced to a point where noninvasive eye-tracking techniques, developed for use with human participants, can be applied for use with nonhuman primates in a restraint-free manner. Here we review the corpus of recent studies (N=32) that take such an approach. Despite the growing interest in eye-tracking research, there is still little consensus on “best practices,” both in terms of deploying test protocols or reporting methods and results. Therefore, we look to advances made in the field of developmental psychology, as well as our own collective experiences using eye trackers with nonhuman primates, to highlight key elements that researchers should consider when designing noninvasive restraint-free eye-tracking research protocols for use with nonhuman primates. Beyond promoting best practices for research protocols, we also outline an ideal approach for reporting such research and highlight future directions for the field.","container-title":"Behavior Research Methods","DOI":"10.3758/s13428-020-01465-6","ISSN":"1554-3528","issue":"3","language":"eng","note":"publisher-place: New York","page":"1003–1030","publisher":"Springer US","source":"llr.primo.exlibrisgroup.com","title":"The application of noninvasive, restraint-free eye-tracking methods for use with nonhuman primates","volume":"53","author":[{"family":"Hopper","given":"Lydia M."},{"family":"Gulli","given":"Roberto A."},{"family":"Howard","given":"Lauren H."},{"family":"Kano","given":"Fumihiro"},{"family":"Krupenye","given":"Christopher"},{"family":"Ryan","given":"Amy M."},{"family":"Paukner","given":"Annika"}],"issued":{"date-parts":[["2021"]]}}}],"schema":"https://github.com/citation-style-language/schema/raw/master/csl-citation.json"} </w:instrText>
      </w:r>
      <w:r w:rsidR="00251F66">
        <w:fldChar w:fldCharType="separate"/>
      </w:r>
      <w:r w:rsidR="00D73AD3">
        <w:rPr>
          <w:noProof/>
        </w:rPr>
        <w:t>(Hopper et al., 2021)</w:t>
      </w:r>
      <w:r w:rsidR="00251F66">
        <w:fldChar w:fldCharType="end"/>
      </w:r>
      <w:r>
        <w:t xml:space="preserve">. Eye tracking studies have suggested that non-human primates show a preference for looking at faces that is comparable to humans, with all  great apes preferentially looking at faces over bodies or background </w:t>
      </w:r>
      <w:r>
        <w:fldChar w:fldCharType="begin"/>
      </w:r>
      <w:r w:rsidR="0017661F">
        <w:instrText xml:space="preserve"> ADDIN ZOTERO_ITEM CSL_CITATION {"citationID":"liItPmqj","properties":{"formattedCitation":"(F. Kano et al., 2012, 2015; F. Kano &amp; Tomonaga, 2009)","plainCitation":"(F. Kano et al., 2012, 2015; F. Kano &amp; Tomonaga, 2009)","noteIndex":0},"citationItems":[{"id":103,"uris":["http://zotero.org/users/18724519/items/ZADQHRMN"],"itemData":{"id":103,"type":"article-journal","abstract":"Because the faces and eyes of primates convey a rich array of social information, the way in which primates view faces and eyes reflects species-specific strategies for facial communication. How are humans and closely related species such as great apes similar and different in their viewing patterns for faces and eyes? Following previous studies comparing chimpanzees (Pan troglodytes) with humans (Homo sapiens), this study used the eye-tracking method to directly compare the patterns of face and eye scanning by humans, gorillas (Gorilla gorilla), and orangutans (Pongo abelii). Human and ape participants freely viewed pictures of whole bodies and full faces of conspecifics and allospecifics under the same experimental conditions. All species were strikingly similar in that they viewed predominantly faces and eyes. No particular difference was identified between gorillas and orangutans, and they also did not differ from the chimpanzees tested in previous studies. However, humans were somewhat different from apes, especially with respect to prolonged eye viewing. We also examined how species-specific facial morphologies, such as the male flange of orangutans and the black-white contrast of human eyes, affected viewing patterns. Whereas the male flange of orangutans affected viewing patterns, the color contrast of human eyes did not. Humans showed prolonged eye viewing independently of the eye color of presented faces, indicating that this pattern is internally driven rather than stimulus dependent. Overall, the results show general similarities among the species and also identify unique eye-viewing patterns in humans.","container-title":"Journal of comparative psychology","DOI":"10.1037/a0029615","ISSN":"0735-7036","issue":"4","language":"eng","note":"publisher-place: United States","page":"388–398","publisher":"American Psychological Association","source":"llr.primo.exlibrisgroup.com","title":"Face and Eye Scanning in Gorillas (Gorilla gorilla), Orangutans (Pongo abelii), and Humans (Homo sapiens): Unique Eye-Viewing Patterns in Humans Among Hominids","title-short":"Face and Eye Scanning in Gorillas (Gorilla gorilla), Orangutans (Pongo abelii), and Humans (Homo sapiens)","volume":"126","author":[{"family":"Kano","given":"Fumihiro"},{"family":"Call","given":"Josep"},{"family":"Tomonaga","given":"Masaki"}],"issued":{"date-parts":[["2012"]]}}},{"id":62,"uris":["http://zotero.org/users/18724519/items/76YYM23C"],"itemData":{"id":62,"type":"article-journal","abstract":"Humans’ two closest primate living relatives, bonobos and chimpanzees, differ behaviorally, cognitively, and emotionally in several ways despite their general similarities. While bonobos show more affiliative behaviors towards conspecifics, chimpanzees display more overt and severe aggression against conspecifics. From a cognitive standpoint, bonobos perform better in social coordination, gaze-following and food-related cooperation, while chimpanzees excel in tasks requiring extractive foraging skills. We hypothesized that attention and motivation play an important role in shaping the species differences in behavior, cognition, and emotion. Thus, we predicted that bonobos would pay more attention to the other individuals’ face and eyes, as those are related to social affiliation and social coordination, while chimpanzees would pay more attention to the action target objects, as they are related to foraging. Using eye-tracking we examined the bonobos’ and chimpanzees’ spontaneous scanning of pictures that included eyes, mouth, face, genitals, and action target objects of conspecifics. Although bonobos and chimpanzees viewed those elements overall similarly, bonobos viewed the face and eyes longer than chimpanzees, whereas chimpanzees viewed the other elements, the mouth, action target objects and genitals, longer than bonobos. In a discriminant analysis, the individual variation in viewing patterns robustly predicted the species of individuals, thus clearly demonstrating species-specific viewing patterns. We suggest that such attentional and motivational differences between bonobos and chimpanzees could have partly contributed to shaping the species-specific behaviors, cognition, and emotion of these species, even in a relatively short period of evolutionary time.","container-title":"PLOS ONE","DOI":"10.1371/journal.pone.0129684","ISSN":"1932-6203","issue":"6","journalAbbreviation":"PLOS ONE","language":"en","page":"e0129684","publisher":"Public Library of Science","source":"PLoS Journals","title":"Social Attention in the Two Species of Pan: Bonobos Make More Eye Contact than Chimpanzees","title-short":"Social Attention in the Two Species of Pan","volume":"10","author":[{"family":"Kano","given":"Fumihiro"},{"family":"Hirata","given":"Satoshi"},{"family":"Call","given":"Josep"}],"issued":{"date-parts":[["2015",6,15]]}}},{"id":100,"uris":["http://zotero.org/users/18724519/items/4LSHA7Z9"],"itemData":{"id":100,"type":"article-journal","abstract":"Surprisingly little is known about the eye movements of chimpanzees, despite the potential contribution of such knowledge to comparative cognition studies. Here, we present the first examination of eye tracking in chimpanzees. We recorded the eye movements of chimpanzees as they viewed naturalistic pictures containing a full-body image of a chimpanzee, a human or another mammal; results were compared with those from humans. We found a striking similarity in viewing patterns between the two species. Both chimpanzees and humans looked at the animal figures for longer than at the background and at the face region for longer than at other parts of the body. The face region was detected at first sight by both species when they were shown pictures of chimpanzees and of humans. However, the eye movements of chimpanzees also exhibited distinct differences from those of humans; the former shifted the fixation location more quickly and more broadly than the latter. In addition, the average duration of fixation on the face region was shorter in chimpanzees than in humans. Overall, our results clearly demonstrate the eye-movement strategies common to the two primate species and also suggest several notable differences manifested during the observation of pictures of scenes and body forms.","container-title":"Proceedings of the Royal Society B : Biological Sciences","DOI":"10.1098/rspb.2008.1811","ISSN":"0962-8452","issue":"1664","language":"eng","note":"publisher-place: London","page":"1949–1955","publisher":"The Royal Society","source":"llr.primo.exlibrisgroup.com","title":"How chimpanzees look at pictures: a comparative eye-tracking study","title-short":"How chimpanzees look at pictures","volume":"276","author":[{"family":"Kano","given":"Fumihiro"},{"family":"Tomonaga","given":"Masaki"}],"issued":{"date-parts":[["2009"]]}}}],"schema":"https://github.com/citation-style-language/schema/raw/master/csl-citation.json"} </w:instrText>
      </w:r>
      <w:r>
        <w:fldChar w:fldCharType="separate"/>
      </w:r>
      <w:r w:rsidR="0017661F">
        <w:rPr>
          <w:noProof/>
        </w:rPr>
        <w:t>(F. Kano et al., 2012, 2015; F. Kano &amp; Tomonaga, 2009)</w:t>
      </w:r>
      <w:r>
        <w:fldChar w:fldCharType="end"/>
      </w:r>
      <w:r>
        <w:t xml:space="preserve">. Bonobos and chimpanzees have also been found to look longer at familiar faces than unfamiliar faces </w:t>
      </w:r>
      <w:r>
        <w:fldChar w:fldCharType="begin"/>
      </w:r>
      <w:r>
        <w:instrText xml:space="preserve"> ADDIN ZOTERO_ITEM CSL_CITATION {"citationID":"BXjJpAu6","properties":{"formattedCitation":"(F. Kano et al., 2012; Lewis et al., 2023)","plainCitation":"(F. Kano et al., 2012; Lewis et al., 2023)","dontUpdate":true,"noteIndex":0},"citationItems":[{"id":103,"uris":["http://zotero.org/users/18724519/items/ZADQHRMN"],"itemData":{"id":103,"type":"article-journal","abstract":"Because the faces and eyes of primates convey a rich array of social information, the way in which primates view faces and eyes reflects species-specific strategies for facial communication. How are humans and closely related species such as great apes similar and different in their viewing patterns for faces and eyes? Following previous studies comparing chimpanzees (Pan troglodytes) with humans (Homo sapiens), this study used the eye-tracking method to directly compare the patterns of face and eye scanning by humans, gorillas (Gorilla gorilla), and orangutans (Pongo abelii). Human and ape participants freely viewed pictures of whole bodies and full faces of conspecifics and allospecifics under the same experimental conditions. All species were strikingly similar in that they viewed predominantly faces and eyes. No particular difference was identified between gorillas and orangutans, and they also did not differ from the chimpanzees tested in previous studies. However, humans were somewhat different from apes, especially with respect to prolonged eye viewing. We also examined how species-specific facial morphologies, such as the male flange of orangutans and the black-white contrast of human eyes, affected viewing patterns. Whereas the male flange of orangutans affected viewing patterns, the color contrast of human eyes did not. Humans showed prolonged eye viewing independently of the eye color of presented faces, indicating that this pattern is internally driven rather than stimulus dependent. Overall, the results show general similarities among the species and also identify unique eye-viewing patterns in humans.","container-title":"Journal of comparative psychology","DOI":"10.1037/a0029615","ISSN":"0735-7036","issue":"4","language":"eng","note":"publisher-place: United States","page":"388–398","publisher":"American Psychological Association","source":"llr.primo.exlibrisgroup.com","title":"Face and Eye Scanning in Gorillas (Gorilla gorilla), Orangutans (Pongo abelii), and Humans (Homo sapiens): Unique Eye-Viewing Patterns in Humans Among Hominids","title-short":"Face and Eye Scanning in Gorillas (Gorilla gorilla), Orangutans (Pongo abelii), and Humans (Homo sapiens)","volume":"126","author":[{"family":"Kano","given":"Fumihiro"},{"family":"Call","given":"Josep"},{"family":"Tomonaga","given":"Masaki"}],"issued":{"date-parts":[["2012"]]}}},{"id":71,"uris":["http://zotero.org/users/18724519/items/YW8GJM3X"],"itemData":{"id":71,"type":"article-journal","abstract":"Recognition and memory of familiar conspecifics provides the foundation for complex sociality and is vital to navigating an unpredictable social world [Tibbetts and Dale,Trends Ecol. Evol.22, 529–537 (2007)]. Human social memory incorporates content about interactions and relationships and can last for decades [Sherry and Schacter,Psychol. Rev.94, 439–454 (1987)]. Long-term social memory likely played a key role throughout human evolution, as our ancestors increasingly built relationships that operated across distant space and time [Maloneet al.,Int. J. Primatol.33, 1251–1277 (2012)]. Although individual recognition is widespread among animals and sometimes lasts for years, little is known about social memory in nonhuman apes and the shared evolutionary foundations of human social memory. In a preferential-looking eye-tracking task, we presented chimpanzees and bonobos (N= 26) with side-by-side images of a previous groupmate and a conspecific stranger of the same sex. Apes’ attention was biased toward former groupmates, indicating long-term memory for past social partners. The strength of biases toward former groupmates was not impacted by the duration apart, and our results suggest that recognition may persist for at least 26 y beyond separation. We also found significant but weak evidence that, like humans, apes may remember the quality or content of these past relationships: apes’ looking biases were stronger for individuals with whom they had more positive histories of social interaction. Long-lasting social memory likely provided key foundations for the evolution of human culture and sociality as they extended across time, space, and group boundaries.","container-title":"Proceedings of the National Academy of Sciences","DOI":"10.1073/pnas.2304903120","ISSN":"0027-8424","issue":"52","language":"eng","note":"publisher-place: United States","page":"e2304903120","publisher":"Proceedings of the National Academy of Sciences","source":"llr.primo.exlibrisgroup.com","title":"Bonobos and chimpanzees remember familiar conspecifics for decades","volume":"120","author":[{"family":"Lewis","given":"Laura S."},{"family":"Wessling","given":"Erin G."},{"family":"Kano","given":"Fumihiro"},{"family":"Stevens","given":"Jeroen M. G."},{"family":"Call","given":"Josep"},{"family":"Krupenye","given":"Christopher"}],"issued":{"date-parts":[["2023"]]}}}],"schema":"https://github.com/citation-style-language/schema/raw/master/csl-citation.json"} </w:instrText>
      </w:r>
      <w:r>
        <w:fldChar w:fldCharType="separate"/>
      </w:r>
      <w:r>
        <w:rPr>
          <w:noProof/>
        </w:rPr>
        <w:t>(Lewis et al., 2023)</w:t>
      </w:r>
      <w:r>
        <w:fldChar w:fldCharType="end"/>
      </w:r>
      <w:r>
        <w:t xml:space="preserve"> and can recognise the faces of groupmates they have not seen in decades </w:t>
      </w:r>
      <w:r>
        <w:fldChar w:fldCharType="begin"/>
      </w:r>
      <w:r>
        <w:instrText xml:space="preserve"> ADDIN ZOTERO_ITEM CSL_CITATION {"citationID":"5qG2iP0W","properties":{"formattedCitation":"(Lewis et al., 2023)","plainCitation":"(Lewis et al., 2023)","noteIndex":0},"citationItems":[{"id":71,"uris":["http://zotero.org/users/18724519/items/YW8GJM3X"],"itemData":{"id":71,"type":"article-journal","abstract":"Recognition and memory of familiar conspecifics provides the foundation for complex sociality and is vital to navigating an unpredictable social world [Tibbetts and Dale,Trends Ecol. Evol.22, 529–537 (2007)]. Human social memory incorporates content about interactions and relationships and can last for decades [Sherry and Schacter,Psychol. Rev.94, 439–454 (1987)]. Long-term social memory likely played a key role throughout human evolution, as our ancestors increasingly built relationships that operated across distant space and time [Maloneet al.,Int. J. Primatol.33, 1251–1277 (2012)]. Although individual recognition is widespread among animals and sometimes lasts for years, little is known about social memory in nonhuman apes and the shared evolutionary foundations of human social memory. In a preferential-looking eye-tracking task, we presented chimpanzees and bonobos (N= 26) with side-by-side images of a previous groupmate and a conspecific stranger of the same sex. Apes’ attention was biased toward former groupmates, indicating long-term memory for past social partners. The strength of biases toward former groupmates was not impacted by the duration apart, and our results suggest that recognition may persist for at least 26 y beyond separation. We also found significant but weak evidence that, like humans, apes may remember the quality or content of these past relationships: apes’ looking biases were stronger for individuals with whom they had more positive histories of social interaction. Long-lasting social memory likely provided key foundations for the evolution of human culture and sociality as they extended across time, space, and group boundaries.","container-title":"Proceedings of the National Academy of Sciences","DOI":"10.1073/pnas.2304903120","ISSN":"0027-8424","issue":"52","language":"eng","note":"publisher-place: United States","page":"e2304903120","publisher":"Proceedings of the National Academy of Sciences","source":"llr.primo.exlibrisgroup.com","title":"Bonobos and chimpanzees remember familiar conspecifics for decades","volume":"120","author":[{"family":"Lewis","given":"Laura S."},{"family":"Wessling","given":"Erin G."},{"family":"Kano","given":"Fumihiro"},{"family":"Stevens","given":"Jeroen M. G."},{"family":"Call","given":"Josep"},{"family":"Krupenye","given":"Christopher"}],"issued":{"date-parts":[["2023"]]}}}],"schema":"https://github.com/citation-style-language/schema/raw/master/csl-citation.json"} </w:instrText>
      </w:r>
      <w:r>
        <w:fldChar w:fldCharType="separate"/>
      </w:r>
      <w:r>
        <w:rPr>
          <w:noProof/>
        </w:rPr>
        <w:t>(Lewis et al., 2023)</w:t>
      </w:r>
      <w:r>
        <w:fldChar w:fldCharType="end"/>
      </w:r>
      <w:r>
        <w:t xml:space="preserve">. Eye tracking studies have also suggested that non-human primates’ perceptions of faces (but not necessarily facial expressions) can be related to their social experience. </w:t>
      </w:r>
      <w:r w:rsidR="00B672EE">
        <w:t>B</w:t>
      </w:r>
      <w:r>
        <w:t xml:space="preserve">onobos and chimpanzees show a looking bias for faces of former groupmates whom they had more positive social interactions with </w:t>
      </w:r>
      <w:r>
        <w:fldChar w:fldCharType="begin"/>
      </w:r>
      <w:r>
        <w:instrText xml:space="preserve"> ADDIN ZOTERO_ITEM CSL_CITATION {"citationID":"3VN9fh5P","properties":{"formattedCitation":"(Lewis et al., 2023)","plainCitation":"(Lewis et al., 2023)","noteIndex":0},"citationItems":[{"id":71,"uris":["http://zotero.org/users/18724519/items/YW8GJM3X"],"itemData":{"id":71,"type":"article-journal","abstract":"Recognition and memory of familiar conspecifics provides the foundation for complex sociality and is vital to navigating an unpredictable social world [Tibbetts and Dale,Trends Ecol. Evol.22, 529–537 (2007)]. Human social memory incorporates content about interactions and relationships and can last for decades [Sherry and Schacter,Psychol. Rev.94, 439–454 (1987)]. Long-term social memory likely played a key role throughout human evolution, as our ancestors increasingly built relationships that operated across distant space and time [Maloneet al.,Int. J. Primatol.33, 1251–1277 (2012)]. Although individual recognition is widespread among animals and sometimes lasts for years, little is known about social memory in nonhuman apes and the shared evolutionary foundations of human social memory. In a preferential-looking eye-tracking task, we presented chimpanzees and bonobos (N= 26) with side-by-side images of a previous groupmate and a conspecific stranger of the same sex. Apes’ attention was biased toward former groupmates, indicating long-term memory for past social partners. The strength of biases toward former groupmates was not impacted by the duration apart, and our results suggest that recognition may persist for at least 26 y beyond separation. We also found significant but weak evidence that, like humans, apes may remember the quality or content of these past relationships: apes’ looking biases were stronger for individuals with whom they had more positive histories of social interaction. Long-lasting social memory likely provided key foundations for the evolution of human culture and sociality as they extended across time, space, and group boundaries.","container-title":"Proceedings of the National Academy of Sciences","DOI":"10.1073/pnas.2304903120","ISSN":"0027-8424","issue":"52","language":"eng","note":"publisher-place: United States","page":"e2304903120","publisher":"Proceedings of the National Academy of Sciences","source":"llr.primo.exlibrisgroup.com","title":"Bonobos and chimpanzees remember familiar conspecifics for decades","volume":"120","author":[{"family":"Lewis","given":"Laura S."},{"family":"Wessling","given":"Erin G."},{"family":"Kano","given":"Fumihiro"},{"family":"Stevens","given":"Jeroen M. G."},{"family":"Call","given":"Josep"},{"family":"Krupenye","given":"Christopher"}],"issued":{"date-parts":[["2023"]]}}}],"schema":"https://github.com/citation-style-language/schema/raw/master/csl-citation.json"} </w:instrText>
      </w:r>
      <w:r>
        <w:fldChar w:fldCharType="separate"/>
      </w:r>
      <w:r>
        <w:rPr>
          <w:noProof/>
        </w:rPr>
        <w:t>(Lewis et al., 2023)</w:t>
      </w:r>
      <w:r>
        <w:fldChar w:fldCharType="end"/>
      </w:r>
      <w:r>
        <w:t>.</w:t>
      </w:r>
      <w:r w:rsidRPr="00CC41FF">
        <w:t xml:space="preserve"> </w:t>
      </w:r>
      <w:r>
        <w:t>Together, these findings suggest that non-human primate’s attention to social cues can be moderated by both social experience and the identity of the signaller.</w:t>
      </w:r>
    </w:p>
    <w:p w14:paraId="168E5633" w14:textId="77777777" w:rsidR="00D73AD3" w:rsidRDefault="00D73AD3" w:rsidP="00F5403E"/>
    <w:p w14:paraId="3175B54D" w14:textId="56C18E3A" w:rsidR="005F6F2E" w:rsidRDefault="00484338" w:rsidP="00F5403E">
      <w:r>
        <w:lastRenderedPageBreak/>
        <w:t xml:space="preserve">This research project aimed to investigate the </w:t>
      </w:r>
      <w:r w:rsidR="00E16941">
        <w:t xml:space="preserve">social factors that moderate </w:t>
      </w:r>
      <w:r w:rsidR="00194D8A">
        <w:t>production (Study 1) and perception (Study 2) of facial movements in a population of captive bonobos (</w:t>
      </w:r>
      <w:r w:rsidR="00194D8A">
        <w:rPr>
          <w:i/>
          <w:iCs/>
        </w:rPr>
        <w:t>Pan paniscus</w:t>
      </w:r>
      <w:r w:rsidR="00194D8A">
        <w:t>)</w:t>
      </w:r>
      <w:r w:rsidR="00AE2BC2">
        <w:t xml:space="preserve">. Bonobos </w:t>
      </w:r>
      <w:r w:rsidR="00256EB5">
        <w:t xml:space="preserve">provide </w:t>
      </w:r>
      <w:r w:rsidR="009717EA">
        <w:t xml:space="preserve">the perfect study species to investigate </w:t>
      </w:r>
      <w:r w:rsidR="00E1757D">
        <w:t>the evolution of flexible facial communication</w:t>
      </w:r>
      <w:r w:rsidR="00ED7A96">
        <w:t xml:space="preserve"> as they have a</w:t>
      </w:r>
      <w:r w:rsidR="00AE5162">
        <w:t xml:space="preserve"> complex repertoire of facial movements </w:t>
      </w:r>
      <w:r w:rsidR="00AE5162">
        <w:fldChar w:fldCharType="begin"/>
      </w:r>
      <w:r w:rsidR="008511BD">
        <w:instrText xml:space="preserve"> ADDIN ZOTERO_ITEM CSL_CITATION {"citationID":"p0I63LVz","properties":{"formattedCitation":"(De Waal, 1988)","plainCitation":"(De Waal, 1988)","noteIndex":0},"citationItems":[{"id":55,"uris":["http://zotero.org/users/18724519/items/H8QWTCSE"],"itemData":{"id":55,"type":"article-journal","abstract":"Ten bonobos (Pan paniscus), housed in three separate subgroups at the San Diego Zoological Garden, were observed for 288 hours over a four-month period. The colony included one adult male, two adult females, two adolescent males, four juveniles, and one infant. Data on 5,135 sequences of social behavior were collected either as spoken accounts or as video recordings. In addition, high-quality sound recordings were obtained for spectrographic analysis. The data were subjected to a quantitative analysis of probabilities of association between 44 communicative behavior patterns and 40 different context types. The paper treats each communicative behavior pattern separately, providing a) its frequency, b) the most common inter-individual directions of performance, c) characteristic contexts, d) a description, e) a commentary on its possible functions, and f) a comparison with the behavior of chimpanzees (Pan troglodytes). The study shows that, while the behavioral repertoires of the two Pan species are fundamentally similar, interesting differences exist in their vocal repertoires, sexual behavior, and agonistic behavior. The bonobo's voice has a higher pitch, and many of its vocalizations are structurally different from homologous chimpanzee vocalizations. The greatest difference concerns the long-distance hooting calls of the two species. The bonobo's sexual behavior is much more elaborate than the chimpanzee's, including ventro-ventral copulation, and \"GG-rubbing\" between adult females. Sexual forms of contact seem to serve many of the reassurance and reconciliation functions fulfilled by nongenital contact forms in the chimpanzee. Finally, the bonobo's agonistic behavior is less elaborate and appears more controlled than the chimpanzee's. /// Dix bonobos (Pan paniscus), faisant partie de trois sous-groupes vivant séparément au Jardin Zoologique de San Diego, ont été observés pendant 288 heures au cours d'une période de quatre mois. La colonie comprenait un mâle adulte, deux femelles adultes, deux mâles adolescents, quatre jeunes et un petit en bas âge. Les données de 5135 séquences de comportement social ont été recueillies, soit enregistrées oralement sur magnétophone, soit filmées en vidéo. De plus, des enregistrements de son de haute qualité ont été faits en vue d'analyses spectrographiques. Les données ont été soumises à une analyse quantitative de probabilité d'association entre 44 comportements de communication et 40 contextes différents. L'article présente chaque comportement de communication séparément, donnant: a) sa fréquence, b) la direction interindividuelle la plus courante, c) ses contextes caractéristiques, d) sa description, e) un commentaire sur sa fonction possible, et f) une comparaison avec le comportement des chimpanzés (Pan troglodytes). L'étude montre que, bien que les répertoires des comportements des deux espèces Pan soient similaires fondamentalement, il y a des différences intéressantes dans leur répertoire vocal, leur comportement sexuel et leur comportement agressif. La voix des bonobos est plus aigüe et beaucoup de leurs vocalisations sont différentes structurellement des vocalisations homologues des chimpanzés. La plus grande différence concerne les appels de longue distance des deux espèces. Le comportement sexuel des bonobos est beaucoup plus élaboré que celui des chimpanzés et comprend des copulations ventro-ventrales et des frottements des zones génitales entre femelles. Les contacts sexuels semblent remplir des fonctions de réassurance et de réconciliation; ces fonctions étant remplies par des contacts non-génitaux chez les chimpanzés. Finalement, le comportement agressif des bonobos est moins élaboré et semble plus contrôlé que celui des chimpanzés.","container-title":"Behaviour","DOI":"10.1163/156853988X00269","ISSN":"0005-7959","issue":"3-4","language":"eng","note":"publisher-place: The Netherlands","page":"183–251","publisher":"BRILL","source":"llr.primo.exlibrisgroup.com","title":"The Communicative Repertoire of Captive Bonobos (Pan Paniscus), Compared To That of Chimpanzees","volume":"106","author":[{"family":"De Waal","given":"Frans BM"}],"issued":{"date-parts":[["1988"]]}}}],"schema":"https://github.com/citation-style-language/schema/raw/master/csl-citation.json"} </w:instrText>
      </w:r>
      <w:r w:rsidR="00AE5162">
        <w:fldChar w:fldCharType="separate"/>
      </w:r>
      <w:r w:rsidR="008511BD">
        <w:rPr>
          <w:noProof/>
        </w:rPr>
        <w:t>(De Waal, 1988)</w:t>
      </w:r>
      <w:r w:rsidR="00AE5162">
        <w:fldChar w:fldCharType="end"/>
      </w:r>
      <w:r w:rsidR="003B4EFF">
        <w:t xml:space="preserve">, they live in </w:t>
      </w:r>
      <w:r w:rsidR="00EF67F0">
        <w:t>continuously changing group compositions due to the fission-fusion dynamics in their societies</w:t>
      </w:r>
      <w:r w:rsidR="00976F95">
        <w:t xml:space="preserve">, </w:t>
      </w:r>
      <w:r w:rsidR="000112C4">
        <w:t xml:space="preserve">and </w:t>
      </w:r>
      <w:r w:rsidR="00256EB5">
        <w:t xml:space="preserve">are phylogenetically closely related to humans. </w:t>
      </w:r>
    </w:p>
    <w:p w14:paraId="67BB3680" w14:textId="73C0115F" w:rsidR="005135C7" w:rsidRDefault="00812444" w:rsidP="004D2BEF">
      <w:pPr>
        <w:pStyle w:val="Heading2"/>
      </w:pPr>
      <w:r>
        <w:t>Study 1</w:t>
      </w:r>
      <w:r w:rsidR="00626E2B">
        <w:t xml:space="preserve">: </w:t>
      </w:r>
      <w:r w:rsidR="008D2C4D">
        <w:t xml:space="preserve">How </w:t>
      </w:r>
      <w:r w:rsidR="00771DE1">
        <w:t>social environment impa</w:t>
      </w:r>
      <w:r w:rsidR="00C347E7">
        <w:t>cts</w:t>
      </w:r>
      <w:r w:rsidR="005135C7">
        <w:t xml:space="preserve"> production of facial </w:t>
      </w:r>
      <w:r w:rsidR="00E91CCE">
        <w:t>expressions</w:t>
      </w:r>
      <w:r w:rsidR="005135C7">
        <w:t xml:space="preserve"> </w:t>
      </w:r>
    </w:p>
    <w:p w14:paraId="5289C3C7" w14:textId="2E94799C" w:rsidR="00626E2B" w:rsidRDefault="00626E2B" w:rsidP="008D2C4D">
      <w:r>
        <w:t>Research questions:</w:t>
      </w:r>
    </w:p>
    <w:p w14:paraId="2F3B4DFA" w14:textId="2C2935D6" w:rsidR="009C4844" w:rsidRPr="00626E2B" w:rsidRDefault="009C4844" w:rsidP="00626E2B">
      <w:pPr>
        <w:pStyle w:val="ListParagraph"/>
        <w:numPr>
          <w:ilvl w:val="0"/>
          <w:numId w:val="1"/>
        </w:numPr>
        <w:spacing w:after="160" w:line="259" w:lineRule="auto"/>
        <w:rPr>
          <w:rFonts w:eastAsia="Calibri" w:cs="Calibri"/>
          <w:color w:val="000000" w:themeColor="text1"/>
        </w:rPr>
      </w:pPr>
      <w:r w:rsidRPr="00626E2B">
        <w:rPr>
          <w:rFonts w:eastAsia="Calibri" w:cs="Calibri"/>
          <w:color w:val="000000" w:themeColor="text1"/>
        </w:rPr>
        <w:t>Are there group differences in the form and function of facial movements?</w:t>
      </w:r>
    </w:p>
    <w:p w14:paraId="008B6349" w14:textId="5E51BA6B" w:rsidR="007F3DAF" w:rsidRPr="003B4EFF" w:rsidRDefault="009C4844" w:rsidP="003B4EFF">
      <w:pPr>
        <w:pStyle w:val="ListParagraph"/>
        <w:numPr>
          <w:ilvl w:val="0"/>
          <w:numId w:val="1"/>
        </w:numPr>
        <w:spacing w:after="160" w:line="259" w:lineRule="auto"/>
        <w:rPr>
          <w:rFonts w:eastAsia="Calibri" w:cs="Calibri"/>
          <w:color w:val="000000" w:themeColor="text1"/>
        </w:rPr>
      </w:pPr>
      <w:r w:rsidRPr="00217FB4">
        <w:rPr>
          <w:rFonts w:eastAsia="Calibri" w:cs="Calibri"/>
          <w:color w:val="000000" w:themeColor="text1"/>
        </w:rPr>
        <w:t xml:space="preserve">Do individuals who migrate between groups modify their facial movements to be more </w:t>
      </w:r>
      <w:proofErr w:type="gramStart"/>
      <w:r w:rsidRPr="00217FB4">
        <w:rPr>
          <w:rFonts w:eastAsia="Calibri" w:cs="Calibri"/>
          <w:color w:val="000000" w:themeColor="text1"/>
        </w:rPr>
        <w:t>similar to</w:t>
      </w:r>
      <w:proofErr w:type="gramEnd"/>
      <w:r w:rsidRPr="00217FB4">
        <w:rPr>
          <w:rFonts w:eastAsia="Calibri" w:cs="Calibri"/>
          <w:color w:val="000000" w:themeColor="text1"/>
        </w:rPr>
        <w:t xml:space="preserve"> their current group members?</w:t>
      </w:r>
    </w:p>
    <w:p w14:paraId="555133E0" w14:textId="14E19564" w:rsidR="00C27A43" w:rsidRDefault="00C27A43" w:rsidP="00C27A43">
      <w:pPr>
        <w:pStyle w:val="Heading2"/>
      </w:pPr>
      <w:r>
        <w:t>Methods</w:t>
      </w:r>
    </w:p>
    <w:p w14:paraId="7E809DB8" w14:textId="4B58D841" w:rsidR="00286596" w:rsidRDefault="00286596" w:rsidP="00286596">
      <w:pPr>
        <w:pStyle w:val="Heading3"/>
      </w:pPr>
      <w:r>
        <w:t>Subjects and housing</w:t>
      </w:r>
    </w:p>
    <w:p w14:paraId="0169FB5B" w14:textId="30E60257" w:rsidR="008152E2" w:rsidRDefault="0017270F" w:rsidP="008152E2">
      <w:r>
        <w:t xml:space="preserve">Data </w:t>
      </w:r>
      <w:r w:rsidR="00B42A78">
        <w:t xml:space="preserve">for this project </w:t>
      </w:r>
      <w:r>
        <w:t>was collected from a population of 14 bonobos (8 females, 6 males, age range 3 - 48 years)</w:t>
      </w:r>
      <w:r w:rsidRPr="00D34BD1">
        <w:t xml:space="preserve"> </w:t>
      </w:r>
      <w:r>
        <w:t>at Twycross Zoo, United Kingdom, between</w:t>
      </w:r>
      <w:r w:rsidRPr="005111A4">
        <w:t xml:space="preserve"> </w:t>
      </w:r>
      <w:r>
        <w:t>April 2024 – May 2025.</w:t>
      </w:r>
      <w:r w:rsidR="00286596">
        <w:t xml:space="preserve"> Individuals were housed in two adjacent enclosures, separated by a connecting door. Each enclosure had a heated indoor area (54.3 m</w:t>
      </w:r>
      <w:r w:rsidR="00286596" w:rsidRPr="008E095A">
        <w:rPr>
          <w:vertAlign w:val="superscript"/>
        </w:rPr>
        <w:t>2</w:t>
      </w:r>
      <w:r w:rsidR="00286596">
        <w:t xml:space="preserve"> per enclosure) and a planted outdoor area (433 m</w:t>
      </w:r>
      <w:r w:rsidR="00286596" w:rsidRPr="008E095A">
        <w:rPr>
          <w:vertAlign w:val="superscript"/>
        </w:rPr>
        <w:t>2</w:t>
      </w:r>
      <w:r w:rsidR="00286596" w:rsidRPr="00236D24">
        <w:t xml:space="preserve"> </w:t>
      </w:r>
      <w:r w:rsidR="00286596" w:rsidRPr="00453F6A">
        <w:t>left hand side enclosure</w:t>
      </w:r>
      <w:r w:rsidR="00286596">
        <w:rPr>
          <w:vertAlign w:val="superscript"/>
        </w:rPr>
        <w:t xml:space="preserve"> </w:t>
      </w:r>
      <w:r w:rsidR="00286596">
        <w:t>and 211 m</w:t>
      </w:r>
      <w:r w:rsidR="00286596" w:rsidRPr="008E095A">
        <w:rPr>
          <w:vertAlign w:val="superscript"/>
        </w:rPr>
        <w:t>2</w:t>
      </w:r>
      <w:r w:rsidR="00286596">
        <w:rPr>
          <w:vertAlign w:val="superscript"/>
        </w:rPr>
        <w:t xml:space="preserve"> </w:t>
      </w:r>
      <w:r w:rsidR="00286596" w:rsidRPr="00236D24">
        <w:t>right hand side enclosure)</w:t>
      </w:r>
      <w:r w:rsidR="00286596">
        <w:t xml:space="preserve">. Bonobos were fed several times per day and had </w:t>
      </w:r>
      <w:r w:rsidR="00286596">
        <w:rPr>
          <w:i/>
          <w:iCs/>
        </w:rPr>
        <w:t>ad libitum</w:t>
      </w:r>
      <w:r w:rsidR="00286596">
        <w:t xml:space="preserve"> access to water throughout the study.</w:t>
      </w:r>
    </w:p>
    <w:p w14:paraId="32C8FFE7" w14:textId="44142E7E" w:rsidR="00286596" w:rsidRDefault="00286596" w:rsidP="00286596">
      <w:pPr>
        <w:pStyle w:val="Heading3"/>
      </w:pPr>
      <w:r>
        <w:t>Fission-fusion dynamics</w:t>
      </w:r>
    </w:p>
    <w:p w14:paraId="1C8E715D" w14:textId="04F9ADC8" w:rsidR="00BF592D" w:rsidRDefault="00BF592D" w:rsidP="00BF592D">
      <w:r>
        <w:t xml:space="preserve">The zoo implemented a fission-fusion management technique, whereby some individuals were moved and reorganised between the two enclosures regularly (mean number of days between fission-fusion events was 5.1 days). Group sizes ranged from 3 – 11 individuals during this study. The decision to move individuals between the two enclosures was at the discretion of the care staff, usually to mitigate against conflict or tension in the group. This resulted in a continuously changing group composition throughout the observational and experimental data collection periods. This management technique is used, in part, to mimic the natural behaviour of bonobos in the wild </w:t>
      </w:r>
      <w:r>
        <w:fldChar w:fldCharType="begin"/>
      </w:r>
      <w:r>
        <w:instrText xml:space="preserve"> ADDIN ZOTERO_ITEM CSL_CITATION {"citationID":"bemZVKW7","properties":{"formattedCitation":"(Badrian &amp; Badrian, 1984; T. Kano, 1982)","plainCitation":"(Badrian &amp; Badrian, 1984; T. Kano, 1982)","noteIndex":0},"citationItems":[{"id":124,"uris":["http://zotero.org/users/18724519/items/XVSVLJL5"],"itemData":{"id":124,"type":"chapter","abstract":"Of the four great apes—the pygmy chimpanzee (Pan paniscus), common chimpanzee (Pan troglodytes), gorilla (Gorilla gorilla), and orangutan (Pongo pygmaeus)—the latter three are known to exhibit marked differences in the way their respective societies are organized and structured. Common chimpanzee society consists of a flexible community of strongly bonded adult males and more solitary females (Wrangham, 1975; Tutin and McGinnis, 1981). Within chimpanzee society, the size and composition of groups [“temporary associations,” “bands,” “parties” (Goodall, 1968; Reynolds and Reynolds, 1965)] are unstable. The only enduring bonds within a community are those between mothers and their offspring (Good-all, 1968). The social structure of the gorilla consists of cohesive groups comprising a dominant adult male, a variable number of other males, adult females, and young (Schaller, 1963). Solitary males may be found on the fringes of the group and will associate with its members on occasion (Harcourt, 1979). Orangutans are largely solitary except for mothers with dependent offspring and temporary male-female consortships (MacKinnon, 1971, 1974; Rijksen, 1978).","collection-title":"The Pygmy Chimpanzee","container-title":"The Pygmy Chimpanzee","DOI":"10.1007/978-1-4757-0082-4_13","ISBN":"978-1-4757-0084-8","language":"eng ; jpn","page":"325–346","publisher":"Springer US","publisher-place":"Boston, MA","source":"llr.primo.exlibrisgroup.com","title":"Social Organization of Pan paniscus in the Lomako Forest, Zaire","author":[{"family":"Badrian","given":"Alison"},{"family":"Badrian","given":"Noel"}],"contributor":[{"family":"Susman","given":"Randall L."}],"issued":{"date-parts":[["1984"]]}}},{"id":126,"uris":["http://zotero.org/users/18724519/items/CVKK9ZJM"],"itemData":{"id":126,"type":"article-journal","abstract":"This is a sociological study of the pygmy chimpanzees of Wamba which have been provisioned sufficiently since 1977. The society of the pygmy chimpanzee is basically similar to that of the common chimpanzee in the flexibility in forming parties and in the existence of a definite social unit, i.e.,unit group. It also resembles in that young females play an important role in exchanging members among unit groups, thus, as transmitters of genes from group to group, while males do in integrating groups, delimiting the social boundaries of unit groups through their inter-group antagonism. Pygmy chimpanzees differ from common chimpanzees in fission and fusion pattern of parties. The former generally forms parties larger in size and more homogeneous in composition than the latter. Any party of the former has both reproductive and nursing functions, while the parties of the latter are categorized into various types according to functions and compositions. This uniformity in pygmy chimpanzee parties seems to be well maintained by the females' high sexual ability to manifest semi-continual estrus.","container-title":"Primates","DOI":"10.1007/bf02381159","ISSN":"0032-8332","issue":"2","language":"eng","page":"171–188","publisher":"Springer Science and Business Media LLC","source":"llr.primo.exlibrisgroup.com","title":"The social group of pygmy chimpanzees (Pan paniscus) of Wamba","volume":"23","author":[{"family":"Kano","given":"Takayoshi"}],"issued":{"date-parts":[["1982"]]}}}],"schema":"https://github.com/citation-style-language/schema/raw/master/csl-citation.json"} </w:instrText>
      </w:r>
      <w:r>
        <w:fldChar w:fldCharType="separate"/>
      </w:r>
      <w:r>
        <w:rPr>
          <w:noProof/>
        </w:rPr>
        <w:t>(Badrian &amp; Badrian, 1984; T. Kano, 1982)</w:t>
      </w:r>
      <w:r>
        <w:fldChar w:fldCharType="end"/>
      </w:r>
      <w:r>
        <w:t xml:space="preserve">. </w:t>
      </w:r>
      <w:r w:rsidR="00FF21AE">
        <w:t xml:space="preserve"> </w:t>
      </w:r>
    </w:p>
    <w:p w14:paraId="1DFC051D" w14:textId="77777777" w:rsidR="00FF21AE" w:rsidRDefault="00FF21AE" w:rsidP="00BF592D"/>
    <w:p w14:paraId="55734F10" w14:textId="6534662A" w:rsidR="00ED644F" w:rsidRDefault="00BF592D" w:rsidP="00BF592D">
      <w:r>
        <w:t xml:space="preserve">Within the population, there were two family sub-groups that were separated for the duration of this study; they are referred to as fixed groups. These fixed groups have been kept in separate enclosures for 4 years prior to this study (since May 2020) due to aggressive interactions, but before this, they had spent time in the same enclosure. The two fixed groups were made up of one female and their sons (DIA Group n=2, LIN Group n=4). The remaining individuals (n=8) were made up of </w:t>
      </w:r>
      <w:proofErr w:type="gramStart"/>
      <w:r>
        <w:t>two family</w:t>
      </w:r>
      <w:proofErr w:type="gramEnd"/>
      <w:r>
        <w:t xml:space="preserve"> sub-groups and three unrelated females; these individuals will be referred to as migraters, as they migrated between the two fixed groups during fission-fusion events. Each family group moved between the two enclosures together as a group, and both family groups could be in the same enclosure or could be separated. The unrelated females moved between the two </w:t>
      </w:r>
      <w:r>
        <w:lastRenderedPageBreak/>
        <w:t xml:space="preserve">enclosures together or separately. All individuals were moved between the two enclosures and therefore spent some time in both enclosures. </w:t>
      </w:r>
    </w:p>
    <w:p w14:paraId="60721979" w14:textId="7CE6A017" w:rsidR="00ED644F" w:rsidRDefault="004C751D" w:rsidP="00ED644F">
      <w:pPr>
        <w:pStyle w:val="Heading3"/>
      </w:pPr>
      <w:r>
        <w:t>Facial behaviour data collection</w:t>
      </w:r>
    </w:p>
    <w:p w14:paraId="3055CC23" w14:textId="44F521EF" w:rsidR="00AF2F3B" w:rsidRDefault="006425DA" w:rsidP="00AF2F3B">
      <w:pPr>
        <w:rPr>
          <w:rStyle w:val="normaltextrun"/>
          <w:rFonts w:cs="Calibri"/>
          <w:color w:val="000000"/>
          <w:bdr w:val="none" w:sz="0" w:space="0" w:color="auto" w:frame="1"/>
        </w:rPr>
      </w:pPr>
      <w:r>
        <w:t>1,088 videos were collected</w:t>
      </w:r>
      <w:r w:rsidR="00AF2F3B" w:rsidRPr="001D1FB5">
        <w:t xml:space="preserve"> across </w:t>
      </w:r>
      <w:r w:rsidR="006A4348">
        <w:t>33</w:t>
      </w:r>
      <w:r w:rsidR="00AF2F3B" w:rsidRPr="001D1FB5">
        <w:t xml:space="preserve"> days. Data was collected using focal animal sampling and ad-libitum sampling (Altmann, 1974) in a pseudo-random order with </w:t>
      </w:r>
      <w:proofErr w:type="spellStart"/>
      <w:r w:rsidR="00AF2F3B" w:rsidRPr="001D1FB5">
        <w:t>focals</w:t>
      </w:r>
      <w:proofErr w:type="spellEnd"/>
      <w:r w:rsidR="00AF2F3B" w:rsidRPr="001D1FB5">
        <w:t xml:space="preserve"> lasting 20 minutes. </w:t>
      </w:r>
      <w:r w:rsidR="00AF2F3B" w:rsidRPr="001D1FB5">
        <w:rPr>
          <w:rStyle w:val="normaltextrun"/>
          <w:rFonts w:cs="Calibri"/>
          <w:color w:val="000000"/>
          <w:shd w:val="clear" w:color="auto" w:fill="FFFFFF"/>
        </w:rPr>
        <w:t xml:space="preserve">At the start of an observation day, the current group compositions were recorded as well as the time since the last zoo-assisted fission-fusion event. When a social interaction occurred, the focal animal's face was filmed using a Panasonic HC-V770 video camera. The prerecord feature of the camera was used, which captured video footage 3-seconds before the record button was pressed. Recordings finished at least 5 seconds after individuals moved away from each other or stopped interacting with each other. </w:t>
      </w:r>
      <w:r w:rsidR="00AF2F3B" w:rsidRPr="001D1FB5">
        <w:rPr>
          <w:rStyle w:val="normaltextrun"/>
          <w:rFonts w:cs="Calibri"/>
          <w:color w:val="000000"/>
          <w:bdr w:val="none" w:sz="0" w:space="0" w:color="auto" w:frame="1"/>
        </w:rPr>
        <w:t xml:space="preserve">Data was collected from the visitor’s area through glass windows when individuals were in the outdoor and indoor areas of their enclosures. </w:t>
      </w:r>
      <w:r w:rsidR="00B1004D">
        <w:rPr>
          <w:rStyle w:val="normaltextrun"/>
          <w:rFonts w:cs="Calibri"/>
          <w:color w:val="000000"/>
          <w:bdr w:val="none" w:sz="0" w:space="0" w:color="auto" w:frame="1"/>
        </w:rPr>
        <w:t xml:space="preserve">This resulted in 12.9 hours of </w:t>
      </w:r>
      <w:proofErr w:type="spellStart"/>
      <w:r w:rsidR="00B1004D">
        <w:rPr>
          <w:rStyle w:val="normaltextrun"/>
          <w:rFonts w:cs="Calibri"/>
          <w:color w:val="000000"/>
          <w:bdr w:val="none" w:sz="0" w:space="0" w:color="auto" w:frame="1"/>
        </w:rPr>
        <w:t>codeable</w:t>
      </w:r>
      <w:proofErr w:type="spellEnd"/>
      <w:r w:rsidR="00B1004D">
        <w:rPr>
          <w:rStyle w:val="normaltextrun"/>
          <w:rFonts w:cs="Calibri"/>
          <w:color w:val="000000"/>
          <w:bdr w:val="none" w:sz="0" w:space="0" w:color="auto" w:frame="1"/>
        </w:rPr>
        <w:t xml:space="preserve"> video footage of social interactions.</w:t>
      </w:r>
    </w:p>
    <w:p w14:paraId="66852797" w14:textId="77777777" w:rsidR="00AF2F3B" w:rsidRPr="001D1FB5" w:rsidRDefault="00AF2F3B" w:rsidP="00AF2F3B">
      <w:pPr>
        <w:rPr>
          <w:rStyle w:val="normaltextrun"/>
          <w:rFonts w:cs="Calibri"/>
          <w:color w:val="000000"/>
          <w:bdr w:val="none" w:sz="0" w:space="0" w:color="auto" w:frame="1"/>
        </w:rPr>
      </w:pPr>
    </w:p>
    <w:p w14:paraId="0D1F0028" w14:textId="405C2AE1" w:rsidR="004C751D" w:rsidRPr="00DA1551" w:rsidRDefault="00AF2F3B" w:rsidP="004C751D">
      <w:pPr>
        <w:rPr>
          <w:rFonts w:cs="Calibri"/>
          <w:color w:val="000000"/>
          <w:shd w:val="clear" w:color="auto" w:fill="FFFFFF"/>
        </w:rPr>
      </w:pPr>
      <w:r w:rsidRPr="001D1FB5">
        <w:rPr>
          <w:rStyle w:val="normaltextrun"/>
          <w:rFonts w:cs="Calibri"/>
          <w:color w:val="000000"/>
          <w:shd w:val="clear" w:color="auto" w:fill="FFFFFF"/>
        </w:rPr>
        <w:t>Each social interaction filmed was assigned a social context post-hoc based on the behavioural outcome of the social interaction, but not on the facial movement itself. Inter rater reliability was measured for context coding for all coders.</w:t>
      </w:r>
      <w:r w:rsidRPr="001D1FB5">
        <w:rPr>
          <w:rStyle w:val="eop"/>
          <w:rFonts w:cs="Calibri"/>
          <w:color w:val="000000"/>
          <w:shd w:val="clear" w:color="auto" w:fill="FFFFFF"/>
        </w:rPr>
        <w:t> </w:t>
      </w:r>
      <w:r w:rsidRPr="001D1FB5">
        <w:rPr>
          <w:rStyle w:val="normaltextrun"/>
          <w:rFonts w:eastAsiaTheme="majorEastAsia" w:cs="Calibri"/>
        </w:rPr>
        <w:t xml:space="preserve">Scan data of grooming and all individuals within 1 meter was recorded of the focal individual every two minutes during </w:t>
      </w:r>
      <w:proofErr w:type="spellStart"/>
      <w:r w:rsidRPr="001D1FB5">
        <w:rPr>
          <w:rStyle w:val="normaltextrun"/>
          <w:rFonts w:eastAsiaTheme="majorEastAsia" w:cs="Calibri"/>
        </w:rPr>
        <w:t>focals</w:t>
      </w:r>
      <w:proofErr w:type="spellEnd"/>
      <w:r w:rsidRPr="001D1FB5">
        <w:rPr>
          <w:rStyle w:val="normaltextrun"/>
          <w:rFonts w:eastAsiaTheme="majorEastAsia" w:cs="Calibri"/>
        </w:rPr>
        <w:t xml:space="preserve">. Whole group ad-libitum sampling was used to record agonistic interactions. Data was recorded on an iPad using Animal Observer software </w:t>
      </w:r>
      <w:r w:rsidRPr="001D1FB5">
        <w:rPr>
          <w:rStyle w:val="contentcontrolboundarysink"/>
          <w:rFonts w:ascii="Arial" w:eastAsiaTheme="majorEastAsia" w:hAnsi="Arial" w:cs="Arial"/>
          <w:color w:val="000000"/>
          <w:shd w:val="clear" w:color="auto" w:fill="FFFFFF"/>
        </w:rPr>
        <w:t>​</w:t>
      </w:r>
      <w:r w:rsidRPr="001D1FB5">
        <w:rPr>
          <w:rStyle w:val="normaltextrun"/>
          <w:rFonts w:eastAsiaTheme="majorEastAsia" w:cs="Calibri"/>
          <w:color w:val="000000"/>
        </w:rPr>
        <w:t>(Caillaud, 2016)</w:t>
      </w:r>
      <w:r w:rsidRPr="001D1FB5">
        <w:rPr>
          <w:rStyle w:val="contentcontrolboundarysink"/>
          <w:rFonts w:ascii="Arial" w:eastAsiaTheme="majorEastAsia" w:hAnsi="Arial" w:cs="Arial"/>
          <w:color w:val="000000"/>
          <w:shd w:val="clear" w:color="auto" w:fill="FFFFFF"/>
        </w:rPr>
        <w:t>​</w:t>
      </w:r>
      <w:r w:rsidRPr="001D1FB5">
        <w:rPr>
          <w:rStyle w:val="normaltextrun"/>
          <w:rFonts w:eastAsiaTheme="majorEastAsia" w:cs="Calibri"/>
          <w:color w:val="000000"/>
        </w:rPr>
        <w:t>.</w:t>
      </w:r>
      <w:r w:rsidRPr="001D1FB5">
        <w:rPr>
          <w:rStyle w:val="eop"/>
          <w:rFonts w:eastAsiaTheme="majorEastAsia" w:cs="Calibri"/>
          <w:color w:val="000000"/>
        </w:rPr>
        <w:t> </w:t>
      </w:r>
    </w:p>
    <w:p w14:paraId="57C6EF6A" w14:textId="49222273" w:rsidR="00035187" w:rsidRPr="00035187" w:rsidRDefault="00035187" w:rsidP="00A70475">
      <w:pPr>
        <w:pStyle w:val="Heading3"/>
      </w:pPr>
      <w:r>
        <w:t>Facial movement coding procedure</w:t>
      </w:r>
    </w:p>
    <w:p w14:paraId="3967D40C" w14:textId="284E5694" w:rsidR="00ED644F" w:rsidRPr="009A442F" w:rsidRDefault="00A70475" w:rsidP="009A442F">
      <w:pPr>
        <w:pStyle w:val="paragraph"/>
        <w:spacing w:before="0" w:beforeAutospacing="0" w:after="0" w:afterAutospacing="0"/>
        <w:textAlignment w:val="baseline"/>
        <w:rPr>
          <w:rFonts w:asciiTheme="minorHAnsi" w:eastAsiaTheme="majorEastAsia" w:hAnsiTheme="minorHAnsi" w:cs="Calibri"/>
        </w:rPr>
      </w:pPr>
      <w:r w:rsidRPr="001D1FB5">
        <w:rPr>
          <w:rStyle w:val="normaltextrun"/>
          <w:rFonts w:asciiTheme="minorHAnsi" w:eastAsiaTheme="majorEastAsia" w:hAnsiTheme="minorHAnsi" w:cs="Calibri"/>
        </w:rPr>
        <w:t xml:space="preserve">Individual facial movements </w:t>
      </w:r>
      <w:r>
        <w:rPr>
          <w:rStyle w:val="normaltextrun"/>
          <w:rFonts w:asciiTheme="minorHAnsi" w:eastAsiaTheme="majorEastAsia" w:hAnsiTheme="minorHAnsi" w:cs="Calibri"/>
        </w:rPr>
        <w:t>were</w:t>
      </w:r>
      <w:r w:rsidRPr="001D1FB5">
        <w:rPr>
          <w:rStyle w:val="normaltextrun"/>
          <w:rFonts w:asciiTheme="minorHAnsi" w:eastAsiaTheme="majorEastAsia" w:hAnsiTheme="minorHAnsi" w:cs="Calibri"/>
        </w:rPr>
        <w:t xml:space="preserve"> coded from video footage using the </w:t>
      </w:r>
      <w:r>
        <w:rPr>
          <w:rStyle w:val="normaltextrun"/>
          <w:rFonts w:asciiTheme="minorHAnsi" w:eastAsiaTheme="majorEastAsia" w:hAnsiTheme="minorHAnsi" w:cs="Calibri"/>
        </w:rPr>
        <w:t>Bonobo</w:t>
      </w:r>
      <w:r w:rsidRPr="001D1FB5">
        <w:rPr>
          <w:rStyle w:val="normaltextrun"/>
          <w:rFonts w:asciiTheme="minorHAnsi" w:eastAsiaTheme="majorEastAsia" w:hAnsiTheme="minorHAnsi" w:cs="Calibri"/>
        </w:rPr>
        <w:t xml:space="preserve"> </w:t>
      </w:r>
      <w:r>
        <w:rPr>
          <w:rStyle w:val="normaltextrun"/>
          <w:rFonts w:asciiTheme="minorHAnsi" w:eastAsiaTheme="majorEastAsia" w:hAnsiTheme="minorHAnsi" w:cs="Calibri"/>
        </w:rPr>
        <w:t>F</w:t>
      </w:r>
      <w:r w:rsidRPr="001D1FB5">
        <w:rPr>
          <w:rStyle w:val="normaltextrun"/>
          <w:rFonts w:asciiTheme="minorHAnsi" w:eastAsiaTheme="majorEastAsia" w:hAnsiTheme="minorHAnsi" w:cs="Calibri"/>
        </w:rPr>
        <w:t xml:space="preserve">acial </w:t>
      </w:r>
      <w:r>
        <w:rPr>
          <w:rStyle w:val="normaltextrun"/>
          <w:rFonts w:asciiTheme="minorHAnsi" w:eastAsiaTheme="majorEastAsia" w:hAnsiTheme="minorHAnsi" w:cs="Calibri"/>
        </w:rPr>
        <w:t>A</w:t>
      </w:r>
      <w:r w:rsidRPr="001D1FB5">
        <w:rPr>
          <w:rStyle w:val="normaltextrun"/>
          <w:rFonts w:asciiTheme="minorHAnsi" w:eastAsiaTheme="majorEastAsia" w:hAnsiTheme="minorHAnsi" w:cs="Calibri"/>
        </w:rPr>
        <w:t xml:space="preserve">ction </w:t>
      </w:r>
      <w:r>
        <w:rPr>
          <w:rStyle w:val="normaltextrun"/>
          <w:rFonts w:asciiTheme="minorHAnsi" w:eastAsiaTheme="majorEastAsia" w:hAnsiTheme="minorHAnsi" w:cs="Calibri"/>
        </w:rPr>
        <w:t>C</w:t>
      </w:r>
      <w:r w:rsidRPr="001D1FB5">
        <w:rPr>
          <w:rStyle w:val="normaltextrun"/>
          <w:rFonts w:asciiTheme="minorHAnsi" w:eastAsiaTheme="majorEastAsia" w:hAnsiTheme="minorHAnsi" w:cs="Calibri"/>
        </w:rPr>
        <w:t xml:space="preserve">oding </w:t>
      </w:r>
      <w:r>
        <w:rPr>
          <w:rStyle w:val="normaltextrun"/>
          <w:rFonts w:asciiTheme="minorHAnsi" w:eastAsiaTheme="majorEastAsia" w:hAnsiTheme="minorHAnsi" w:cs="Calibri"/>
        </w:rPr>
        <w:t>S</w:t>
      </w:r>
      <w:r w:rsidRPr="001D1FB5">
        <w:rPr>
          <w:rStyle w:val="normaltextrun"/>
          <w:rFonts w:asciiTheme="minorHAnsi" w:eastAsiaTheme="majorEastAsia" w:hAnsiTheme="minorHAnsi" w:cs="Calibri"/>
        </w:rPr>
        <w:t>ystem (</w:t>
      </w:r>
      <w:proofErr w:type="spellStart"/>
      <w:r>
        <w:rPr>
          <w:rStyle w:val="normaltextrun"/>
          <w:rFonts w:asciiTheme="minorHAnsi" w:eastAsiaTheme="majorEastAsia" w:hAnsiTheme="minorHAnsi" w:cs="Calibri"/>
        </w:rPr>
        <w:t>Bonobo</w:t>
      </w:r>
      <w:r w:rsidRPr="001D1FB5">
        <w:rPr>
          <w:rStyle w:val="normaltextrun"/>
          <w:rFonts w:asciiTheme="minorHAnsi" w:eastAsiaTheme="majorEastAsia" w:hAnsiTheme="minorHAnsi" w:cs="Calibri"/>
        </w:rPr>
        <w:t>FACS</w:t>
      </w:r>
      <w:proofErr w:type="spellEnd"/>
      <w:r w:rsidRPr="001D1FB5">
        <w:rPr>
          <w:rStyle w:val="normaltextrun"/>
          <w:rFonts w:asciiTheme="minorHAnsi" w:eastAsiaTheme="majorEastAsia" w:hAnsiTheme="minorHAnsi" w:cs="Calibri"/>
        </w:rPr>
        <w:t xml:space="preserve">) </w:t>
      </w:r>
      <w:r w:rsidRPr="001D1FB5">
        <w:rPr>
          <w:rStyle w:val="contentcontrolboundarysink"/>
          <w:rFonts w:ascii="Arial" w:eastAsiaTheme="majorEastAsia" w:hAnsi="Arial" w:cs="Arial"/>
          <w:shd w:val="clear" w:color="auto" w:fill="FFFFFF"/>
        </w:rPr>
        <w:t>​</w:t>
      </w:r>
      <w:r>
        <w:rPr>
          <w:rStyle w:val="contentcontrolboundarysink"/>
          <w:rFonts w:ascii="Arial" w:eastAsiaTheme="majorEastAsia" w:hAnsi="Arial" w:cs="Arial"/>
          <w:shd w:val="clear" w:color="auto" w:fill="FFFFFF"/>
        </w:rPr>
        <w:fldChar w:fldCharType="begin"/>
      </w:r>
      <w:r w:rsidR="0017661F">
        <w:rPr>
          <w:rStyle w:val="contentcontrolboundarysink"/>
          <w:rFonts w:ascii="Arial" w:eastAsiaTheme="majorEastAsia" w:hAnsi="Arial" w:cs="Arial"/>
          <w:shd w:val="clear" w:color="auto" w:fill="FFFFFF"/>
        </w:rPr>
        <w:instrText xml:space="preserve"> ADDIN ZOTERO_ITEM CSL_CITATION {"citationID":"2fScPo8t","properties":{"formattedCitation":"(Correia-Caeiro et al., 2025)","plainCitation":"(Correia-Caeiro et al., 2025)","noteIndex":0},"citationItems":[{"id":38,"uris":["http://zotero.org/users/18724519/items/LGR6AIEQ"],"itemData":{"id":38,"type":"article-journal","abstract":"The Facial Action Coding System (FACS) is a widely recognised coding scheme for analysing human facial behaviour, providing an objective method to quantify discrete movements associated with facial muscles, known as Action Units (AUs), and reducing subjective bias. FACS has been adapted for nine other taxa, including apes, macaques, and domestic animals, but not yet bonobos. To carry out cross species studies of facial behaviours within and beyond apes, it is essential to include bonobos. Hence, we aimed at adapting FACS for bonobos. We followed a similar methodology as in previous FACS adaptations: first, we examined the facial muscular plan of bonobos from previously published dissections. Given the similarity between bonobo and chimpanzee musculature, we tested if ChimpFACS for chimpanzees could be applied to bonobos. Second, we used ChimpFACS to analyse spontaneous facial behaviour in bonobos through videos recorded in various contexts. Third, we noted any differences in appearance changes between the AUs included in ChimpFACS and the AUs observed in bonobos. Our findings showed that bonobos exhibit all the facial movements observed in chimpanzees, and thus ChimpFACS can reliably be applied to bonobos. Bonobos presented a diverse repertoire of 28 facial movements (22 AUs, three Action Descriptors, and three Ear Action Descriptors). Although the range of facial movement is lower than in humans, bonobo’s potential for facial movement is comparable to that of chimpanzees, underscoring the significance of this behaviour modality during social interactions for both species. The ChimpFACS Extension for bonobos is an objective coding scheme for measuring facial movements in bonobos, designed to be used in conjunction with ChimpFACS. This coding scheme extension will allow us to better understand bonobos’ behaviour and communication, with practical applications for assessing their welfare, particularly in human care. It also provides a framework for comparing primate species, contributing to insights into the origin and evolution of facial emotion and communication.","container-title":"PeerJ (San Francisco, CA)","DOI":"10.7717/peerj.19484","ISSN":"2167-8359","language":"eng","note":"publisher-place: United States","page":"e19484-","publisher":"PeerJ. Ltd","source":"llr.primo.exlibrisgroup.com","title":"Adapting the facial action coding system for chimpanzees ( Pan troglodytes ) to bonobos ( Pan paniscus ): the ChimpFACS extension for bonobos","title-short":"Adapting the facial action coding system for chimpanzees ( Pan troglodytes ) to bonobos ( Pan paniscus )","volume":"13","author":[{"family":"Correia-Caeiro","given":"Catia"},{"family":"Kuchenbuch","given":"Paul Henrik"},{"family":"Oña","given":"Linda S."},{"family":"Wegdell","given":"Franziska"},{"family":"Leroux","given":"Maël"},{"family":"Schuele","given":"André"},{"family":"Taglialatela","given":"Jared"},{"family":"Townsend","given":"Simon"},{"family":"Surbeck","given":"Martin"},{"family":"Waller","given":"Bridget M."},{"family":"Liebal","given":"Katja"}],"issued":{"date-parts":[["2025"]]}}}],"schema":"https://github.com/citation-style-language/schema/raw/master/csl-citation.json"} </w:instrText>
      </w:r>
      <w:r>
        <w:rPr>
          <w:rStyle w:val="contentcontrolboundarysink"/>
          <w:rFonts w:ascii="Arial" w:eastAsiaTheme="majorEastAsia" w:hAnsi="Arial" w:cs="Arial"/>
          <w:shd w:val="clear" w:color="auto" w:fill="FFFFFF"/>
        </w:rPr>
        <w:fldChar w:fldCharType="separate"/>
      </w:r>
      <w:r w:rsidR="0017661F">
        <w:rPr>
          <w:rStyle w:val="contentcontrolboundarysink"/>
          <w:rFonts w:ascii="Arial" w:eastAsiaTheme="majorEastAsia" w:hAnsi="Arial" w:cs="Arial"/>
          <w:noProof/>
          <w:shd w:val="clear" w:color="auto" w:fill="FFFFFF"/>
        </w:rPr>
        <w:t>(Correia-Caeiro et al., 2025)</w:t>
      </w:r>
      <w:r>
        <w:rPr>
          <w:rStyle w:val="contentcontrolboundarysink"/>
          <w:rFonts w:ascii="Arial" w:eastAsiaTheme="majorEastAsia" w:hAnsi="Arial" w:cs="Arial"/>
          <w:shd w:val="clear" w:color="auto" w:fill="FFFFFF"/>
        </w:rPr>
        <w:fldChar w:fldCharType="end"/>
      </w:r>
      <w:r w:rsidRPr="001D1FB5">
        <w:rPr>
          <w:rStyle w:val="contentcontrolboundarysink"/>
          <w:rFonts w:ascii="Arial" w:eastAsiaTheme="majorEastAsia" w:hAnsi="Arial" w:cs="Arial"/>
          <w:shd w:val="clear" w:color="auto" w:fill="FFFFFF"/>
        </w:rPr>
        <w:t>​</w:t>
      </w:r>
      <w:r w:rsidRPr="001D1FB5">
        <w:rPr>
          <w:rStyle w:val="normaltextrun"/>
          <w:rFonts w:asciiTheme="minorHAnsi" w:eastAsiaTheme="majorEastAsia" w:hAnsiTheme="minorHAnsi" w:cs="Calibri"/>
        </w:rPr>
        <w:t xml:space="preserve">. </w:t>
      </w:r>
      <w:proofErr w:type="spellStart"/>
      <w:r w:rsidR="0017661F">
        <w:rPr>
          <w:rStyle w:val="normaltextrun"/>
          <w:rFonts w:asciiTheme="minorHAnsi" w:eastAsiaTheme="majorEastAsia" w:hAnsiTheme="minorHAnsi" w:cs="Calibri"/>
        </w:rPr>
        <w:t>Bonobo</w:t>
      </w:r>
      <w:r w:rsidRPr="001D1FB5">
        <w:rPr>
          <w:rStyle w:val="normaltextrun"/>
          <w:rFonts w:asciiTheme="minorHAnsi" w:eastAsiaTheme="majorEastAsia" w:hAnsiTheme="minorHAnsi" w:cs="Calibri"/>
        </w:rPr>
        <w:t>FACS</w:t>
      </w:r>
      <w:proofErr w:type="spellEnd"/>
      <w:r w:rsidRPr="001D1FB5">
        <w:rPr>
          <w:rStyle w:val="normaltextrun"/>
          <w:rFonts w:asciiTheme="minorHAnsi" w:eastAsiaTheme="majorEastAsia" w:hAnsiTheme="minorHAnsi" w:cs="Calibri"/>
        </w:rPr>
        <w:t xml:space="preserve"> is a reliable, objective tool, and is used to quantify individual facial movements (each underpinned by a muscle movement). Each </w:t>
      </w:r>
      <w:r w:rsidR="0017661F">
        <w:rPr>
          <w:rStyle w:val="normaltextrun"/>
          <w:rFonts w:asciiTheme="minorHAnsi" w:eastAsiaTheme="majorEastAsia" w:hAnsiTheme="minorHAnsi" w:cs="Calibri"/>
        </w:rPr>
        <w:t>individual</w:t>
      </w:r>
      <w:r w:rsidRPr="001D1FB5">
        <w:rPr>
          <w:rStyle w:val="normaltextrun"/>
          <w:rFonts w:asciiTheme="minorHAnsi" w:eastAsiaTheme="majorEastAsia" w:hAnsiTheme="minorHAnsi" w:cs="Calibri"/>
        </w:rPr>
        <w:t xml:space="preserve"> facial movement</w:t>
      </w:r>
      <w:r w:rsidR="0017661F">
        <w:rPr>
          <w:rStyle w:val="normaltextrun"/>
          <w:rFonts w:asciiTheme="minorHAnsi" w:eastAsiaTheme="majorEastAsia" w:hAnsiTheme="minorHAnsi" w:cs="Calibri"/>
        </w:rPr>
        <w:t xml:space="preserve"> is</w:t>
      </w:r>
      <w:r w:rsidRPr="001D1FB5">
        <w:rPr>
          <w:rStyle w:val="normaltextrun"/>
          <w:rFonts w:asciiTheme="minorHAnsi" w:eastAsiaTheme="majorEastAsia" w:hAnsiTheme="minorHAnsi" w:cs="Calibri"/>
        </w:rPr>
        <w:t xml:space="preserve"> referred to as </w:t>
      </w:r>
      <w:r w:rsidR="0017661F">
        <w:rPr>
          <w:rStyle w:val="normaltextrun"/>
          <w:rFonts w:asciiTheme="minorHAnsi" w:eastAsiaTheme="majorEastAsia" w:hAnsiTheme="minorHAnsi" w:cs="Calibri"/>
        </w:rPr>
        <w:t xml:space="preserve">an </w:t>
      </w:r>
      <w:r w:rsidRPr="001D1FB5">
        <w:rPr>
          <w:rStyle w:val="normaltextrun"/>
          <w:rFonts w:asciiTheme="minorHAnsi" w:eastAsiaTheme="majorEastAsia" w:hAnsiTheme="minorHAnsi" w:cs="Calibri"/>
        </w:rPr>
        <w:t>Action Unit (AU)</w:t>
      </w:r>
      <w:r>
        <w:rPr>
          <w:rStyle w:val="normaltextrun"/>
          <w:rFonts w:asciiTheme="minorHAnsi" w:eastAsiaTheme="majorEastAsia" w:hAnsiTheme="minorHAnsi" w:cs="Calibri"/>
        </w:rPr>
        <w:t>,</w:t>
      </w:r>
      <w:r w:rsidRPr="001D1FB5">
        <w:rPr>
          <w:rStyle w:val="normaltextrun"/>
          <w:rFonts w:asciiTheme="minorHAnsi" w:eastAsiaTheme="majorEastAsia" w:hAnsiTheme="minorHAnsi" w:cs="Calibri"/>
        </w:rPr>
        <w:t xml:space="preserve"> or Action Descriptor (AD) if the underlying muscles are unknown. Training and certification are required to use the system. FACS data allows for subtle differences in facial movements and AU configurations to be quantified and compared between individuals. Interrater reliability w</w:t>
      </w:r>
      <w:r>
        <w:rPr>
          <w:rStyle w:val="normaltextrun"/>
          <w:rFonts w:asciiTheme="minorHAnsi" w:eastAsiaTheme="majorEastAsia" w:hAnsiTheme="minorHAnsi" w:cs="Calibri"/>
        </w:rPr>
        <w:t xml:space="preserve">as </w:t>
      </w:r>
      <w:r w:rsidRPr="001D1FB5">
        <w:rPr>
          <w:rStyle w:val="normaltextrun"/>
          <w:rFonts w:asciiTheme="minorHAnsi" w:eastAsiaTheme="majorEastAsia" w:hAnsiTheme="minorHAnsi" w:cs="Calibri"/>
        </w:rPr>
        <w:t>measured for</w:t>
      </w:r>
      <w:r w:rsidR="00093FB6">
        <w:rPr>
          <w:rStyle w:val="normaltextrun"/>
          <w:rFonts w:asciiTheme="minorHAnsi" w:eastAsiaTheme="majorEastAsia" w:hAnsiTheme="minorHAnsi" w:cs="Calibri"/>
        </w:rPr>
        <w:t xml:space="preserve"> the two</w:t>
      </w:r>
      <w:r>
        <w:rPr>
          <w:rStyle w:val="normaltextrun"/>
          <w:rFonts w:asciiTheme="minorHAnsi" w:eastAsiaTheme="majorEastAsia" w:hAnsiTheme="minorHAnsi" w:cs="Calibri"/>
        </w:rPr>
        <w:t xml:space="preserve"> </w:t>
      </w:r>
      <w:proofErr w:type="spellStart"/>
      <w:r w:rsidR="00093FB6">
        <w:rPr>
          <w:rStyle w:val="normaltextrun"/>
          <w:rFonts w:asciiTheme="minorHAnsi" w:eastAsiaTheme="majorEastAsia" w:hAnsiTheme="minorHAnsi" w:cs="Calibri"/>
        </w:rPr>
        <w:t>Bonobo</w:t>
      </w:r>
      <w:r w:rsidRPr="001D1FB5">
        <w:rPr>
          <w:rStyle w:val="normaltextrun"/>
          <w:rFonts w:asciiTheme="minorHAnsi" w:eastAsiaTheme="majorEastAsia" w:hAnsiTheme="minorHAnsi" w:cs="Calibri"/>
        </w:rPr>
        <w:t>FACS</w:t>
      </w:r>
      <w:proofErr w:type="spellEnd"/>
      <w:r w:rsidRPr="001D1FB5">
        <w:rPr>
          <w:rStyle w:val="normaltextrun"/>
          <w:rFonts w:asciiTheme="minorHAnsi" w:eastAsiaTheme="majorEastAsia" w:hAnsiTheme="minorHAnsi" w:cs="Calibri"/>
        </w:rPr>
        <w:t xml:space="preserve"> cod</w:t>
      </w:r>
      <w:r>
        <w:rPr>
          <w:rStyle w:val="normaltextrun"/>
          <w:rFonts w:asciiTheme="minorHAnsi" w:eastAsiaTheme="majorEastAsia" w:hAnsiTheme="minorHAnsi" w:cs="Calibri"/>
        </w:rPr>
        <w:t>ers.</w:t>
      </w:r>
      <w:r w:rsidR="00DA1551">
        <w:rPr>
          <w:rStyle w:val="normaltextrun"/>
          <w:rFonts w:asciiTheme="minorHAnsi" w:eastAsiaTheme="majorEastAsia" w:hAnsiTheme="minorHAnsi" w:cs="Calibri"/>
        </w:rPr>
        <w:t xml:space="preserve"> </w:t>
      </w:r>
      <w:r w:rsidRPr="001D1FB5">
        <w:rPr>
          <w:rStyle w:val="normaltextrun"/>
          <w:rFonts w:asciiTheme="minorHAnsi" w:eastAsiaTheme="majorEastAsia" w:hAnsiTheme="minorHAnsi" w:cs="Calibri"/>
        </w:rPr>
        <w:t>Facial movements w</w:t>
      </w:r>
      <w:r>
        <w:rPr>
          <w:rStyle w:val="normaltextrun"/>
          <w:rFonts w:asciiTheme="minorHAnsi" w:eastAsiaTheme="majorEastAsia" w:hAnsiTheme="minorHAnsi" w:cs="Calibri"/>
        </w:rPr>
        <w:t xml:space="preserve">ere </w:t>
      </w:r>
      <w:r w:rsidRPr="001D1FB5">
        <w:rPr>
          <w:rStyle w:val="normaltextrun"/>
          <w:rFonts w:asciiTheme="minorHAnsi" w:eastAsiaTheme="majorEastAsia" w:hAnsiTheme="minorHAnsi" w:cs="Calibri"/>
        </w:rPr>
        <w:t>coded frame</w:t>
      </w:r>
      <w:r>
        <w:rPr>
          <w:rStyle w:val="normaltextrun"/>
          <w:rFonts w:asciiTheme="minorHAnsi" w:eastAsiaTheme="majorEastAsia" w:hAnsiTheme="minorHAnsi" w:cs="Calibri"/>
        </w:rPr>
        <w:t>-</w:t>
      </w:r>
      <w:r w:rsidRPr="001D1FB5">
        <w:rPr>
          <w:rStyle w:val="normaltextrun"/>
          <w:rFonts w:asciiTheme="minorHAnsi" w:eastAsiaTheme="majorEastAsia" w:hAnsiTheme="minorHAnsi" w:cs="Calibri"/>
        </w:rPr>
        <w:t>by</w:t>
      </w:r>
      <w:r>
        <w:rPr>
          <w:rStyle w:val="normaltextrun"/>
          <w:rFonts w:asciiTheme="minorHAnsi" w:eastAsiaTheme="majorEastAsia" w:hAnsiTheme="minorHAnsi" w:cs="Calibri"/>
        </w:rPr>
        <w:t>-</w:t>
      </w:r>
      <w:r w:rsidRPr="001D1FB5">
        <w:rPr>
          <w:rStyle w:val="normaltextrun"/>
          <w:rFonts w:asciiTheme="minorHAnsi" w:eastAsiaTheme="majorEastAsia" w:hAnsiTheme="minorHAnsi" w:cs="Calibri"/>
        </w:rPr>
        <w:t xml:space="preserve">frame from video footage using </w:t>
      </w:r>
      <w:proofErr w:type="spellStart"/>
      <w:r w:rsidRPr="001D1FB5">
        <w:rPr>
          <w:rStyle w:val="normaltextrun"/>
          <w:rFonts w:asciiTheme="minorHAnsi" w:eastAsiaTheme="majorEastAsia" w:hAnsiTheme="minorHAnsi" w:cs="Calibri"/>
        </w:rPr>
        <w:t>Behavioral</w:t>
      </w:r>
      <w:proofErr w:type="spellEnd"/>
      <w:r w:rsidRPr="001D1FB5">
        <w:rPr>
          <w:rStyle w:val="normaltextrun"/>
          <w:rFonts w:asciiTheme="minorHAnsi" w:eastAsiaTheme="majorEastAsia" w:hAnsiTheme="minorHAnsi" w:cs="Calibri"/>
        </w:rPr>
        <w:t xml:space="preserve"> Observation Research Interactive Software (BORIS)</w:t>
      </w:r>
      <w:r w:rsidR="00F34F36">
        <w:rPr>
          <w:rStyle w:val="normaltextrun"/>
          <w:rFonts w:asciiTheme="minorHAnsi" w:eastAsiaTheme="majorEastAsia" w:hAnsiTheme="minorHAnsi" w:cs="Calibri"/>
        </w:rPr>
        <w:t xml:space="preserve"> </w:t>
      </w:r>
      <w:r w:rsidR="000C474A">
        <w:rPr>
          <w:rStyle w:val="normaltextrun"/>
          <w:rFonts w:asciiTheme="minorHAnsi" w:eastAsiaTheme="majorEastAsia" w:hAnsiTheme="minorHAnsi" w:cs="Calibri"/>
        </w:rPr>
        <w:fldChar w:fldCharType="begin"/>
      </w:r>
      <w:r w:rsidR="000C474A">
        <w:rPr>
          <w:rStyle w:val="normaltextrun"/>
          <w:rFonts w:asciiTheme="minorHAnsi" w:eastAsiaTheme="majorEastAsia" w:hAnsiTheme="minorHAnsi" w:cs="Calibri"/>
        </w:rPr>
        <w:instrText xml:space="preserve"> ADDIN ZOTERO_ITEM CSL_CITATION {"citationID":"n2FYtRta","properties":{"formattedCitation":"(Friard &amp; Gamba, 2016)","plainCitation":"(Friard &amp; Gamba, 2016)","noteIndex":0},"citationItems":[{"id":263,"uris":["http://zotero.org/users/18724519/items/X79AXYXP"],"itemData":{"id":263,"type":"article-journal","abstract":"SummaryQuantitative aspects of the study of animal and human behaviour are increasingly relevant to test hypotheses and find empirical support for them. At the same time, photo and video cameras can store a large number of video recordings and are often used to monitor the subjects remotely. Researchers frequently face the need to code considerable quantities of video recordings with relatively flexible software, often constrained by species</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specific options or exact settings.BORIS is a free, open</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source and multiplatform standalone program that allows a user</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specific coding environment to be set for a computer</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based review of previously recorded videos or live observations. Being open to user</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specific settings, the program allows a project</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based ethogram to be defined that can then be shared with collaborators, or can be imported or modified.Projects created in BORIS can include a list of observations, and each observation may include one or two videos (e.g. simultaneous screening of visual stimuli and the subject being tested; recordings from different sides of an aquarium). Once the user has set an ethogram, including state or point events or both, coding can be performed using previously assigned keys on the computer keyboard. BORIS allows definition of an unlimited number of events (states/point events) and subjects.Once the coding process is completed, the program can extract a time</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budget or single or grouped observations automatically and present an at</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a</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glance summary of the main behavioural features. The observation data and time</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budget analysis can be exported in many common formats (TSV, CSV, ODF, XLS, SQL and JSON). The observed events can be plotted and exported in various graphic formats (SVG, PNG, JPG, TIFF, EPS and PDF).","container-title":"Methods in Ecology and Evolution","DOI":"10.1111/2041-210x.12584","ISSN":"2041-210X","issue":"11","language":"eng","page":"1325–1330","publisher":"Wiley","publisher-place":"London","source":"llr.primo.exlibrisgroup.com","title":"BORIS: a free, versatile open</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source event</w:instrText>
      </w:r>
      <w:r w:rsidR="000C474A">
        <w:rPr>
          <w:rStyle w:val="normaltextrun"/>
          <w:rFonts w:ascii="Cambria Math" w:eastAsiaTheme="majorEastAsia" w:hAnsi="Cambria Math" w:cs="Cambria Math"/>
        </w:rPr>
        <w:instrText>‐</w:instrText>
      </w:r>
      <w:r w:rsidR="000C474A">
        <w:rPr>
          <w:rStyle w:val="normaltextrun"/>
          <w:rFonts w:asciiTheme="minorHAnsi" w:eastAsiaTheme="majorEastAsia" w:hAnsiTheme="minorHAnsi" w:cs="Calibri"/>
        </w:rPr>
        <w:instrText xml:space="preserve">logging software for video/audio coding and live observations","title-short":"BORIS","volume":"7","author":[{"family":"Friard","given":"Olivier"},{"family":"Gamba","given":"Marco"}],"issued":{"date-parts":[["2016"]]}}}],"schema":"https://github.com/citation-style-language/schema/raw/master/csl-citation.json"} </w:instrText>
      </w:r>
      <w:r w:rsidR="000C474A">
        <w:rPr>
          <w:rStyle w:val="normaltextrun"/>
          <w:rFonts w:asciiTheme="minorHAnsi" w:eastAsiaTheme="majorEastAsia" w:hAnsiTheme="minorHAnsi" w:cs="Calibri"/>
        </w:rPr>
        <w:fldChar w:fldCharType="separate"/>
      </w:r>
      <w:r w:rsidR="000C474A">
        <w:rPr>
          <w:rStyle w:val="normaltextrun"/>
          <w:rFonts w:asciiTheme="minorHAnsi" w:eastAsiaTheme="majorEastAsia" w:hAnsiTheme="minorHAnsi" w:cs="Calibri"/>
          <w:noProof/>
        </w:rPr>
        <w:t>(Friard &amp; Gamba, 2016)</w:t>
      </w:r>
      <w:r w:rsidR="000C474A">
        <w:rPr>
          <w:rStyle w:val="normaltextrun"/>
          <w:rFonts w:asciiTheme="minorHAnsi" w:eastAsiaTheme="majorEastAsia" w:hAnsiTheme="minorHAnsi" w:cs="Calibri"/>
        </w:rPr>
        <w:fldChar w:fldCharType="end"/>
      </w:r>
      <w:r w:rsidR="000C474A">
        <w:rPr>
          <w:rStyle w:val="normaltextrun"/>
          <w:rFonts w:asciiTheme="minorHAnsi" w:eastAsiaTheme="majorEastAsia" w:hAnsiTheme="minorHAnsi" w:cs="Calibri"/>
        </w:rPr>
        <w:t xml:space="preserve">. </w:t>
      </w:r>
      <w:r w:rsidRPr="001D1FB5">
        <w:rPr>
          <w:rStyle w:val="normaltextrun"/>
          <w:rFonts w:asciiTheme="minorHAnsi" w:eastAsiaTheme="majorEastAsia" w:hAnsiTheme="minorHAnsi" w:cs="Calibri"/>
        </w:rPr>
        <w:t>Each AU w</w:t>
      </w:r>
      <w:r>
        <w:rPr>
          <w:rStyle w:val="normaltextrun"/>
          <w:rFonts w:asciiTheme="minorHAnsi" w:eastAsiaTheme="majorEastAsia" w:hAnsiTheme="minorHAnsi" w:cs="Calibri"/>
        </w:rPr>
        <w:t>as</w:t>
      </w:r>
      <w:r w:rsidRPr="001D1FB5">
        <w:rPr>
          <w:rStyle w:val="normaltextrun"/>
          <w:rFonts w:asciiTheme="minorHAnsi" w:eastAsiaTheme="majorEastAsia" w:hAnsiTheme="minorHAnsi" w:cs="Calibri"/>
        </w:rPr>
        <w:t xml:space="preserve"> coded as a state </w:t>
      </w:r>
      <w:r>
        <w:rPr>
          <w:rStyle w:val="normaltextrun"/>
          <w:rFonts w:asciiTheme="minorHAnsi" w:eastAsiaTheme="majorEastAsia" w:hAnsiTheme="minorHAnsi" w:cs="Calibri"/>
        </w:rPr>
        <w:t>variable</w:t>
      </w:r>
      <w:r w:rsidRPr="001D1FB5">
        <w:rPr>
          <w:rStyle w:val="normaltextrun"/>
          <w:rFonts w:asciiTheme="minorHAnsi" w:eastAsiaTheme="majorEastAsia" w:hAnsiTheme="minorHAnsi" w:cs="Calibri"/>
        </w:rPr>
        <w:t xml:space="preserve"> with a start and end time so that both duration and frequency of AUs c</w:t>
      </w:r>
      <w:r>
        <w:rPr>
          <w:rStyle w:val="normaltextrun"/>
          <w:rFonts w:asciiTheme="minorHAnsi" w:eastAsiaTheme="majorEastAsia" w:hAnsiTheme="minorHAnsi" w:cs="Calibri"/>
        </w:rPr>
        <w:t xml:space="preserve">ould </w:t>
      </w:r>
      <w:r w:rsidRPr="001D1FB5">
        <w:rPr>
          <w:rStyle w:val="normaltextrun"/>
          <w:rFonts w:asciiTheme="minorHAnsi" w:eastAsiaTheme="majorEastAsia" w:hAnsiTheme="minorHAnsi" w:cs="Calibri"/>
        </w:rPr>
        <w:t xml:space="preserve">be measured. </w:t>
      </w:r>
    </w:p>
    <w:p w14:paraId="7FE0D18B" w14:textId="7C1B0E9A" w:rsidR="00ED644F" w:rsidRDefault="00D76EDB" w:rsidP="00D76EDB">
      <w:pPr>
        <w:pStyle w:val="Heading2"/>
      </w:pPr>
      <w:r>
        <w:t>Results</w:t>
      </w:r>
    </w:p>
    <w:p w14:paraId="2CF0BA0A" w14:textId="76D277B9" w:rsidR="00D76EDB" w:rsidRDefault="00D76EDB" w:rsidP="00D76EDB">
      <w:r>
        <w:t xml:space="preserve">Data for Study 1 is yet to be analysed, with analyses planned to </w:t>
      </w:r>
      <w:r w:rsidR="00D809C1">
        <w:t xml:space="preserve">be complete by May 2026. </w:t>
      </w:r>
    </w:p>
    <w:p w14:paraId="367BF347" w14:textId="319A360C" w:rsidR="004D5A5F" w:rsidRPr="00D76EDB" w:rsidRDefault="004D5A5F" w:rsidP="004D5A5F">
      <w:pPr>
        <w:pStyle w:val="Heading2"/>
      </w:pPr>
      <w:r>
        <w:t xml:space="preserve">Study 2: How social environment impacts </w:t>
      </w:r>
      <w:r w:rsidR="00E91CCE">
        <w:t>perception</w:t>
      </w:r>
      <w:r>
        <w:t xml:space="preserve"> of facial </w:t>
      </w:r>
      <w:r w:rsidR="00E91CCE">
        <w:t>expressions</w:t>
      </w:r>
    </w:p>
    <w:p w14:paraId="74AE9E33" w14:textId="64AF9B0A" w:rsidR="00D76EDB" w:rsidRDefault="009A5C63" w:rsidP="00BF592D">
      <w:r>
        <w:t>T</w:t>
      </w:r>
      <w:r w:rsidR="00483E2E">
        <w:t xml:space="preserve">his study </w:t>
      </w:r>
      <w:r w:rsidR="004B3235">
        <w:rPr>
          <w:rFonts w:eastAsia="Calibri" w:cs="Calibri"/>
          <w:color w:val="000000" w:themeColor="text1"/>
        </w:rPr>
        <w:t>c</w:t>
      </w:r>
      <w:r w:rsidR="004B3235">
        <w:t>ombines eye tracking and behavioural measures to explore how aspects of an individual’s changing social environment affects their attention to conspecific facial expressions. B</w:t>
      </w:r>
      <w:r w:rsidR="00483E2E">
        <w:t xml:space="preserve">onobos were presented with a stimulus containing two </w:t>
      </w:r>
      <w:r w:rsidR="008921E0">
        <w:t xml:space="preserve">conspecific </w:t>
      </w:r>
      <w:r w:rsidR="00483E2E">
        <w:t xml:space="preserve">facial </w:t>
      </w:r>
      <w:r w:rsidR="00483E2E">
        <w:lastRenderedPageBreak/>
        <w:t xml:space="preserve">expressions associated with play behaviour, each of which varied in expressivity. Processing of these faces was measured by fixation duration in a preferential looking paradigm. How preferences towards different facial expressions change depending on different aspects of the subject’s current social environment was measured and evidence of a flexible response was explored. </w:t>
      </w:r>
      <w:r w:rsidR="00D9439B">
        <w:t>W</w:t>
      </w:r>
      <w:r w:rsidR="00483E2E">
        <w:t>e predicted that individuals preferentially attend to more expressive play associated facial expressions when they are surrounded by groupmates that they play with</w:t>
      </w:r>
      <w:r w:rsidR="003163C1">
        <w:t xml:space="preserve"> and groom with</w:t>
      </w:r>
      <w:r w:rsidR="00483E2E">
        <w:t xml:space="preserve"> more often. </w:t>
      </w:r>
      <w:r w:rsidR="003163C1">
        <w:t>W</w:t>
      </w:r>
      <w:r w:rsidR="00483E2E">
        <w:t xml:space="preserve">e </w:t>
      </w:r>
      <w:r w:rsidR="003163C1">
        <w:t xml:space="preserve">also </w:t>
      </w:r>
      <w:r w:rsidR="00483E2E">
        <w:t>predicted that individuals preferentially attend to more expressive play associated facial expressions when they have a stronger social bond with the signaller</w:t>
      </w:r>
      <w:r w:rsidR="008921E0">
        <w:t xml:space="preserve"> in the stimuli</w:t>
      </w:r>
      <w:r w:rsidR="00483E2E">
        <w:t xml:space="preserve">. </w:t>
      </w:r>
      <w:r w:rsidR="008C4FE6">
        <w:t>Finally, w</w:t>
      </w:r>
      <w:r w:rsidR="00483E2E">
        <w:t>e predict</w:t>
      </w:r>
      <w:r w:rsidR="008C4FE6">
        <w:t>ed</w:t>
      </w:r>
      <w:r w:rsidR="00483E2E">
        <w:t xml:space="preserve"> the above effects </w:t>
      </w:r>
      <w:r w:rsidR="00210067">
        <w:t>are</w:t>
      </w:r>
      <w:r w:rsidR="00483E2E">
        <w:t xml:space="preserve"> be moderated by expressivity difference between the two faces, with great effects observed when the difference in expressivity between the faces is greater.</w:t>
      </w:r>
    </w:p>
    <w:p w14:paraId="685980CA" w14:textId="19CBE7EB" w:rsidR="00D76EDB" w:rsidRDefault="00214E0D" w:rsidP="00214E0D">
      <w:pPr>
        <w:pStyle w:val="Heading2"/>
      </w:pPr>
      <w:r>
        <w:t>Methods</w:t>
      </w:r>
    </w:p>
    <w:p w14:paraId="751A257C" w14:textId="0955C500" w:rsidR="00E23D3F" w:rsidRPr="00E23D3F" w:rsidRDefault="00E23D3F" w:rsidP="00E23D3F">
      <w:r>
        <w:t xml:space="preserve">Eight of the bonobos from Twycross Zoo participated in the eye tracking study (5 females, 3 males, age range 3 - 31 years, </w:t>
      </w:r>
      <w:r>
        <w:fldChar w:fldCharType="begin"/>
      </w:r>
      <w:r>
        <w:instrText xml:space="preserve"> REF _Ref213855092 \h </w:instrText>
      </w:r>
      <w:r>
        <w:fldChar w:fldCharType="separate"/>
      </w:r>
      <w:r>
        <w:t xml:space="preserve">Table </w:t>
      </w:r>
      <w:r>
        <w:rPr>
          <w:noProof/>
        </w:rPr>
        <w:t>1</w:t>
      </w:r>
      <w:r>
        <w:fldChar w:fldCharType="end"/>
      </w:r>
      <w:r>
        <w:t>) between October 2024 – May 2025.</w:t>
      </w:r>
      <w:r w:rsidR="00686882">
        <w:t xml:space="preserve"> Participation in the experimental study was voluntary, and all bonobos were encouraged to participate with a reward of diluted fruit juice.</w:t>
      </w:r>
      <w:r w:rsidR="005D3298" w:rsidRPr="005D3298">
        <w:t xml:space="preserve"> </w:t>
      </w:r>
      <w:r w:rsidR="005D3298">
        <w:t>Experimental data was collected on 36 days (October 2024 – May 2025) with 18 unique group compositions.</w:t>
      </w:r>
    </w:p>
    <w:p w14:paraId="4086A2DE" w14:textId="6D7CF7D2" w:rsidR="00214E0D" w:rsidRDefault="00214E0D" w:rsidP="00214E0D">
      <w:pPr>
        <w:pStyle w:val="Heading3"/>
      </w:pPr>
      <w:r>
        <w:t>Stimuli</w:t>
      </w:r>
    </w:p>
    <w:p w14:paraId="6EAC6B0E" w14:textId="73AD7627" w:rsidR="00840431" w:rsidRDefault="00840431" w:rsidP="00840431">
      <w:r>
        <w:t xml:space="preserve">The stimuli consisted of bonobo faces that had been digitally manipulated to represent different facial expressions observed during natural playful interactions </w:t>
      </w:r>
      <w:r>
        <w:fldChar w:fldCharType="begin"/>
      </w:r>
      <w:r>
        <w:instrText xml:space="preserve"> ADDIN ZOTERO_ITEM CSL_CITATION {"citationID":"HkA3pnn9","properties":{"formattedCitation":"(De Waal, 1988; Palagi, 2006)","plainCitation":"(De Waal, 1988; Palagi, 2006)","noteIndex":0},"citationItems":[{"id":55,"uris":["http://zotero.org/users/18724519/items/H8QWTCSE"],"itemData":{"id":55,"type":"article-journal","abstract":"Ten bonobos (Pan paniscus), housed in three separate subgroups at the San Diego Zoological Garden, were observed for 288 hours over a four-month period. The colony included one adult male, two adult females, two adolescent males, four juveniles, and one infant. Data on 5,135 sequences of social behavior were collected either as spoken accounts or as video recordings. In addition, high-quality sound recordings were obtained for spectrographic analysis. The data were subjected to a quantitative analysis of probabilities of association between 44 communicative behavior patterns and 40 different context types. The paper treats each communicative behavior pattern separately, providing a) its frequency, b) the most common inter-individual directions of performance, c) characteristic contexts, d) a description, e) a commentary on its possible functions, and f) a comparison with the behavior of chimpanzees (Pan troglodytes). The study shows that, while the behavioral repertoires of the two Pan species are fundamentally similar, interesting differences exist in their vocal repertoires, sexual behavior, and agonistic behavior. The bonobo's voice has a higher pitch, and many of its vocalizations are structurally different from homologous chimpanzee vocalizations. The greatest difference concerns the long-distance hooting calls of the two species. The bonobo's sexual behavior is much more elaborate than the chimpanzee's, including ventro-ventral copulation, and \"GG-rubbing\" between adult females. Sexual forms of contact seem to serve many of the reassurance and reconciliation functions fulfilled by nongenital contact forms in the chimpanzee. Finally, the bonobo's agonistic behavior is less elaborate and appears more controlled than the chimpanzee's. /// Dix bonobos (Pan paniscus), faisant partie de trois sous-groupes vivant séparément au Jardin Zoologique de San Diego, ont été observés pendant 288 heures au cours d'une période de quatre mois. La colonie comprenait un mâle adulte, deux femelles adultes, deux mâles adolescents, quatre jeunes et un petit en bas âge. Les données de 5135 séquences de comportement social ont été recueillies, soit enregistrées oralement sur magnétophone, soit filmées en vidéo. De plus, des enregistrements de son de haute qualité ont été faits en vue d'analyses spectrographiques. Les données ont été soumises à une analyse quantitative de probabilité d'association entre 44 comportements de communication et 40 contextes différents. L'article présente chaque comportement de communication séparément, donnant: a) sa fréquence, b) la direction interindividuelle la plus courante, c) ses contextes caractéristiques, d) sa description, e) un commentaire sur sa fonction possible, et f) une comparaison avec le comportement des chimpanzés (Pan troglodytes). L'étude montre que, bien que les répertoires des comportements des deux espèces Pan soient similaires fondamentalement, il y a des différences intéressantes dans leur répertoire vocal, leur comportement sexuel et leur comportement agressif. La voix des bonobos est plus aigüe et beaucoup de leurs vocalisations sont différentes structurellement des vocalisations homologues des chimpanzés. La plus grande différence concerne les appels de longue distance des deux espèces. Le comportement sexuel des bonobos est beaucoup plus élaboré que celui des chimpanzés et comprend des copulations ventro-ventrales et des frottements des zones génitales entre femelles. Les contacts sexuels semblent remplir des fonctions de réassurance et de réconciliation; ces fonctions étant remplies par des contacts non-génitaux chez les chimpanzés. Finalement, le comportement agressif des bonobos est moins élaboré et semble plus contrôlé que celui des chimpanzés.","container-title":"Behaviour","DOI":"10.1163/156853988X00269","ISSN":"0005-7959","issue":"3-4","language":"eng","note":"publisher-place: The Netherlands","page":"183–251","publisher":"BRILL","source":"llr.primo.exlibrisgroup.com","title":"The Communicative Repertoire of Captive Bonobos (Pan Paniscus), Compared To That of Chimpanzees","volume":"106","author":[{"family":"De Waal","given":"Frans BM"}],"issued":{"date-parts":[["1988"]]}}},{"id":127,"uris":["http://zotero.org/users/18724519/items/3MI8NQ8R"],"itemData":{"id":127,"type":"article-journal","abstract":"This study compares adult play behavior in the two Pan species in order to test the effects of phylogenetic closeness and the nature of social systems on play distribution. The social play (both with fertile and immature subjects) performed by adults did not differ between the two species. In contrast, in bonobos, play levels among fertile subjects were higher than in chimpanzees. Findings regarding levels of undecided conflicts (more frequent in bonobos) and formal submission displays (lacking in bonobos) confirm, in the two colonies under study, that bonobos exhibit \"egalitarianism\" more than chimpanzees. Some authors emphasized the importance of play-fighting for social assessment when relationships among individuals are not codified and structured according to rank-rules. Indeed, adult bonobos played more roughly than chimpanzees. Moreover, adult bonobos displayed the full play-face at a high frequency especially during rough play sessions, whereas in chimpanzees, the frequency of play signals was not affected by roughness of play. The frequency of social play among bonobo females was higher than in any other sex combinations, whereas no difference was found for chimpanzees. As a matter of fact, social play can be viewed as a balance between cooperation and competition. Among bonobo females, characterized by social competence and affiliation, social play might enhance their behavioral flexibility and increase their socially symmetrical relationships which, after all, are the basis for their egalitarian society.","container-title":"American journal of physical anthropology","DOI":"10.1002/ajpa.20289","ISSN":"0002-9483","issue":"3","language":"eng","note":"publisher-place: New York, NY","page":"418–426","publisher":"Wiley-Liss","source":"llr.primo.exlibrisgroup.com","title":"Social play in bonobos (Pan paniscus) and chimpanzees (Pan troglodytes): Implications for natural social systems and interindividual relationships","title-short":"Social play in bonobos (Pan paniscus) and chimpanzees (Pan troglodytes)","volume":"129","author":[{"family":"Palagi","given":"Elisabetta"}],"issued":{"date-parts":[["2006"]]}}}],"schema":"https://github.com/citation-style-language/schema/raw/master/csl-citation.json"} </w:instrText>
      </w:r>
      <w:r>
        <w:fldChar w:fldCharType="separate"/>
      </w:r>
      <w:r>
        <w:rPr>
          <w:noProof/>
        </w:rPr>
        <w:t>(De Waal, 1988; Palagi, 2006)</w:t>
      </w:r>
      <w:r>
        <w:fldChar w:fldCharType="end"/>
      </w:r>
      <w:r>
        <w:t>. To create the stimuli, the face of a chimpanzee avatar was manipulated to show different play-associated facial movements (</w:t>
      </w:r>
      <w:r>
        <w:fldChar w:fldCharType="begin"/>
      </w:r>
      <w:r>
        <w:instrText xml:space="preserve"> REF _Ref213762843 \h </w:instrText>
      </w:r>
      <w:r>
        <w:fldChar w:fldCharType="separate"/>
      </w:r>
      <w:r>
        <w:t xml:space="preserve">Figure </w:t>
      </w:r>
      <w:r>
        <w:rPr>
          <w:noProof/>
        </w:rPr>
        <w:t>1</w:t>
      </w:r>
      <w:r>
        <w:fldChar w:fldCharType="end"/>
      </w:r>
      <w:r>
        <w:t xml:space="preserve">, left) using Blender </w:t>
      </w:r>
      <w:r>
        <w:fldChar w:fldCharType="begin"/>
      </w:r>
      <w:r>
        <w:instrText xml:space="preserve"> ADDIN ZOTERO_ITEM CSL_CITATION {"citationID":"AYup5974","properties":{"formattedCitation":"(Blender Development Team, 2024)","plainCitation":"(Blender Development Team, 2024)","noteIndex":0},"citationItems":[{"id":70,"uris":["http://zotero.org/users/18724519/items/42KATL9W"],"itemData":{"id":70,"type":"software","publisher":"Blender Development Team","title":"Blender","URL":"https://www.blender.org","version":"4.1","issued":{"date-parts":[["2024",4,16]]}}}],"schema":"https://github.com/citation-style-language/schema/raw/master/csl-citation.json"} </w:instrText>
      </w:r>
      <w:r>
        <w:fldChar w:fldCharType="separate"/>
      </w:r>
      <w:r>
        <w:rPr>
          <w:rFonts w:ascii="Aptos" w:cs="Times New Roman"/>
          <w:kern w:val="0"/>
        </w:rPr>
        <w:t>(Blender Development Team, 2024)</w:t>
      </w:r>
      <w:r>
        <w:fldChar w:fldCharType="end"/>
      </w:r>
      <w:r>
        <w:t>; a free, open-source, 3D graphics software. Using this avatar made it possible to manipulate which individual muscles were engaged in the face. To make the faces more recognisable as conspecifics, the lower face from the avatar was then merged with natural photograph</w:t>
      </w:r>
      <w:r w:rsidR="00A60079">
        <w:t>s</w:t>
      </w:r>
      <w:r>
        <w:t xml:space="preserve"> of </w:t>
      </w:r>
      <w:r w:rsidR="00A60079">
        <w:t>familiar</w:t>
      </w:r>
      <w:r>
        <w:t xml:space="preserve"> bonobo</w:t>
      </w:r>
      <w:r w:rsidR="00244489">
        <w:t>s</w:t>
      </w:r>
      <w:r>
        <w:t xml:space="preserve"> with a neutral facial expression (</w:t>
      </w:r>
      <w:r>
        <w:fldChar w:fldCharType="begin"/>
      </w:r>
      <w:r>
        <w:instrText xml:space="preserve"> REF _Ref213762843 \h </w:instrText>
      </w:r>
      <w:r>
        <w:fldChar w:fldCharType="separate"/>
      </w:r>
      <w:r>
        <w:t xml:space="preserve">Figure </w:t>
      </w:r>
      <w:r>
        <w:rPr>
          <w:noProof/>
        </w:rPr>
        <w:t>1</w:t>
      </w:r>
      <w:r>
        <w:fldChar w:fldCharType="end"/>
      </w:r>
      <w:r>
        <w:t xml:space="preserve">, centre) using Adobe Photoshop 2025. </w:t>
      </w:r>
    </w:p>
    <w:p w14:paraId="15AA44DF" w14:textId="77777777" w:rsidR="00214E0D" w:rsidRPr="00214E0D" w:rsidRDefault="00214E0D" w:rsidP="00214E0D"/>
    <w:p w14:paraId="69D92D85" w14:textId="77777777" w:rsidR="00E80A73" w:rsidRDefault="00A82ABF" w:rsidP="00E80A73">
      <w:pPr>
        <w:keepNext/>
      </w:pPr>
      <w:r>
        <w:rPr>
          <w:noProof/>
        </w:rPr>
        <w:drawing>
          <wp:inline distT="0" distB="0" distL="0" distR="0" wp14:anchorId="6F02CB67" wp14:editId="59422AB9">
            <wp:extent cx="5730705" cy="2022231"/>
            <wp:effectExtent l="0" t="0" r="0" b="0"/>
            <wp:docPr id="1637792814" name="Picture 10" descr="A collage of a m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2814" name="Picture 10" descr="A collage of a monkey&#10;&#10;AI-generated content may be incorrect."/>
                    <pic:cNvPicPr/>
                  </pic:nvPicPr>
                  <pic:blipFill rotWithShape="1">
                    <a:blip r:embed="rId7" cstate="print">
                      <a:extLst>
                        <a:ext uri="{28A0092B-C50C-407E-A947-70E740481C1C}">
                          <a14:useLocalDpi xmlns:a14="http://schemas.microsoft.com/office/drawing/2010/main" val="0"/>
                        </a:ext>
                      </a:extLst>
                    </a:blip>
                    <a:srcRect t="15034" b="14391"/>
                    <a:stretch>
                      <a:fillRect/>
                    </a:stretch>
                  </pic:blipFill>
                  <pic:spPr bwMode="auto">
                    <a:xfrm>
                      <a:off x="0" y="0"/>
                      <a:ext cx="5731510" cy="2022515"/>
                    </a:xfrm>
                    <a:prstGeom prst="rect">
                      <a:avLst/>
                    </a:prstGeom>
                    <a:ln>
                      <a:noFill/>
                    </a:ln>
                    <a:extLst>
                      <a:ext uri="{53640926-AAD7-44D8-BBD7-CCE9431645EC}">
                        <a14:shadowObscured xmlns:a14="http://schemas.microsoft.com/office/drawing/2010/main"/>
                      </a:ext>
                    </a:extLst>
                  </pic:spPr>
                </pic:pic>
              </a:graphicData>
            </a:graphic>
          </wp:inline>
        </w:drawing>
      </w:r>
    </w:p>
    <w:p w14:paraId="65359BD0" w14:textId="13C7535B" w:rsidR="00D76EDB" w:rsidRDefault="00E80A73" w:rsidP="00E80A73">
      <w:pPr>
        <w:pStyle w:val="Caption"/>
      </w:pPr>
      <w:r>
        <w:t xml:space="preserve">Figure </w:t>
      </w:r>
      <w:r w:rsidR="003675BA">
        <w:fldChar w:fldCharType="begin"/>
      </w:r>
      <w:r w:rsidR="003675BA">
        <w:instrText xml:space="preserve"> SEQ Figure \* ARABIC </w:instrText>
      </w:r>
      <w:r w:rsidR="003675BA">
        <w:fldChar w:fldCharType="separate"/>
      </w:r>
      <w:r w:rsidR="003675BA">
        <w:rPr>
          <w:noProof/>
        </w:rPr>
        <w:t>1</w:t>
      </w:r>
      <w:r w:rsidR="003675BA">
        <w:rPr>
          <w:noProof/>
        </w:rPr>
        <w:fldChar w:fldCharType="end"/>
      </w:r>
      <w:r>
        <w:t xml:space="preserve">. </w:t>
      </w:r>
      <w:r w:rsidRPr="00420F2B">
        <w:t xml:space="preserve"> Avatar</w:t>
      </w:r>
      <w:r>
        <w:t xml:space="preserve"> (Left)</w:t>
      </w:r>
      <w:r w:rsidRPr="00420F2B">
        <w:t>. Photograph of a familiar bonobo producing a neutral facial expression (Middle). Stimulus produced by merging the avatar with the photograph using Adobe Photoshop 2025 (Right).</w:t>
      </w:r>
    </w:p>
    <w:p w14:paraId="48700DAC" w14:textId="5422B893" w:rsidR="001A1D44" w:rsidRDefault="00F76BF2" w:rsidP="00BF592D">
      <w:r>
        <w:t>The stimuli represented six different play-associated facial expressions</w:t>
      </w:r>
      <w:r w:rsidR="001B4528">
        <w:t xml:space="preserve"> (</w:t>
      </w:r>
      <w:r w:rsidR="001B4528">
        <w:fldChar w:fldCharType="begin"/>
      </w:r>
      <w:r w:rsidR="001B4528">
        <w:instrText xml:space="preserve"> REF _Ref213762915 \h </w:instrText>
      </w:r>
      <w:r w:rsidR="001B4528">
        <w:fldChar w:fldCharType="separate"/>
      </w:r>
      <w:r w:rsidR="001B4528">
        <w:t xml:space="preserve">Figure </w:t>
      </w:r>
      <w:r w:rsidR="001B4528">
        <w:rPr>
          <w:noProof/>
        </w:rPr>
        <w:t>2</w:t>
      </w:r>
      <w:r w:rsidR="001B4528">
        <w:fldChar w:fldCharType="end"/>
      </w:r>
      <w:r w:rsidR="001B4528">
        <w:t>)</w:t>
      </w:r>
      <w:r w:rsidR="00620697">
        <w:t xml:space="preserve"> chosen to represent natural facial expressions produced by bonobos during playful interactions </w:t>
      </w:r>
      <w:r w:rsidR="00620697">
        <w:fldChar w:fldCharType="begin"/>
      </w:r>
      <w:r w:rsidR="00620697">
        <w:instrText xml:space="preserve"> ADDIN ZOTERO_ITEM CSL_CITATION {"citationID":"gGq63us3","properties":{"formattedCitation":"(De Waal, 1988; Palagi, 2006)","plainCitation":"(De Waal, 1988; Palagi, 2006)","noteIndex":0},"citationItems":[{"id":55,"uris":["http://zotero.org/users/18724519/items/H8QWTCSE"],"itemData":{"id":55,"type":"article-journal","abstract":"Ten bonobos (Pan paniscus), housed in three separate subgroups at the San Diego Zoological Garden, were observed for 288 hours over a four-month period. The colony included one adult male, two adult females, two adolescent males, four juveniles, and one infant. Data on 5,135 sequences of social behavior were collected either as spoken accounts or as video recordings. In addition, high-quality sound recordings were obtained for spectrographic analysis. The data were subjected to a quantitative analysis of probabilities of association between 44 communicative behavior patterns and 40 different context types. The paper treats each communicative behavior pattern separately, providing a) its frequency, b) the most common inter-individual directions of performance, c) characteristic contexts, d) a description, e) a commentary on its possible functions, and f) a comparison with the behavior of chimpanzees (Pan troglodytes). The study shows that, while the behavioral repertoires of the two Pan species are fundamentally similar, interesting differences exist in their vocal repertoires, sexual behavior, and agonistic behavior. The bonobo's voice has a higher pitch, and many of its vocalizations are structurally different from homologous chimpanzee vocalizations. The greatest difference concerns the long-distance hooting calls of the two species. The bonobo's sexual behavior is much more elaborate than the chimpanzee's, including ventro-ventral copulation, and \"GG-rubbing\" between adult females. Sexual forms of contact seem to serve many of the reassurance and reconciliation functions fulfilled by nongenital contact forms in the chimpanzee. Finally, the bonobo's agonistic behavior is less elaborate and appears more controlled than the chimpanzee's. /// Dix bonobos (Pan paniscus), faisant partie de trois sous-groupes vivant séparément au Jardin Zoologique de San Diego, ont été observés pendant 288 heures au cours d'une période de quatre mois. La colonie comprenait un mâle adulte, deux femelles adultes, deux mâles adolescents, quatre jeunes et un petit en bas âge. Les données de 5135 séquences de comportement social ont été recueillies, soit enregistrées oralement sur magnétophone, soit filmées en vidéo. De plus, des enregistrements de son de haute qualité ont été faits en vue d'analyses spectrographiques. Les données ont été soumises à une analyse quantitative de probabilité d'association entre 44 comportements de communication et 40 contextes différents. L'article présente chaque comportement de communication séparément, donnant: a) sa fréquence, b) la direction interindividuelle la plus courante, c) ses contextes caractéristiques, d) sa description, e) un commentaire sur sa fonction possible, et f) une comparaison avec le comportement des chimpanzés (Pan troglodytes). L'étude montre que, bien que les répertoires des comportements des deux espèces Pan soient similaires fondamentalement, il y a des différences intéressantes dans leur répertoire vocal, leur comportement sexuel et leur comportement agressif. La voix des bonobos est plus aigüe et beaucoup de leurs vocalisations sont différentes structurellement des vocalisations homologues des chimpanzés. La plus grande différence concerne les appels de longue distance des deux espèces. Le comportement sexuel des bonobos est beaucoup plus élaboré que celui des chimpanzés et comprend des copulations ventro-ventrales et des frottements des zones génitales entre femelles. Les contacts sexuels semblent remplir des fonctions de réassurance et de réconciliation; ces fonctions étant remplies par des contacts non-génitaux chez les chimpanzés. Finalement, le comportement agressif des bonobos est moins élaboré et semble plus contrôlé que celui des chimpanzés.","container-title":"Behaviour","DOI":"10.1163/156853988X00269","ISSN":"0005-7959","issue":"3-4","language":"eng","note":"publisher-place: The Netherlands","page":"183–251","publisher":"BRILL","source":"llr.primo.exlibrisgroup.com","title":"The Communicative Repertoire of Captive Bonobos (Pan Paniscus), Compared To That of Chimpanzees","volume":"106","author":[{"family":"De Waal","given":"Frans BM"}],"issued":{"date-parts":[["1988"]]}}},{"id":127,"uris":["http://zotero.org/users/18724519/items/3MI8NQ8R"],"itemData":{"id":127,"type":"article-journal","abstract":"This study compares adult play behavior in the two Pan species in order to test the effects of phylogenetic closeness and the nature of social systems on play distribution. The social play (both with fertile and immature subjects) performed by adults did not differ between the two species. In contrast, in bonobos, play levels among fertile subjects were higher than in chimpanzees. Findings regarding levels of undecided conflicts (more frequent in bonobos) and formal submission displays (lacking in bonobos) confirm, in the two colonies under study, that bonobos exhibit \"egalitarianism\" more than chimpanzees. Some authors emphasized the importance of play-fighting for social assessment when relationships among individuals are not codified and structured according to rank-rules. Indeed, adult bonobos played more roughly than chimpanzees. Moreover, adult bonobos displayed the full play-face at a high frequency especially during rough play sessions, whereas in chimpanzees, the frequency of play signals was not affected by roughness of play. The frequency of social play among bonobo females was higher than in any other sex combinations, whereas no difference was found for chimpanzees. As a matter of fact, social play can be viewed as a balance between cooperation and competition. Among bonobo females, characterized by social competence and affiliation, social play might enhance their behavioral flexibility and increase their socially symmetrical relationships which, after all, are the basis for their egalitarian society.","container-title":"American journal of physical anthropology","DOI":"10.1002/ajpa.20289","ISSN":"0002-9483","issue":"3","language":"eng","note":"publisher-place: New York, NY","page":"418–426","publisher":"Wiley-Liss","source":"llr.primo.exlibrisgroup.com","title":"Social play in bonobos (Pan paniscus) and chimpanzees (Pan troglodytes): Implications for natural social systems and interindividual relationships","title-short":"Social play in bonobos (Pan paniscus) and chimpanzees (Pan troglodytes)","volume":"129","author":[{"family":"Palagi","given":"Elisabetta"}],"issued":{"date-parts":[["2006"]]}}}],"schema":"https://github.com/citation-style-language/schema/raw/master/csl-citation.json"} </w:instrText>
      </w:r>
      <w:r w:rsidR="00620697">
        <w:fldChar w:fldCharType="separate"/>
      </w:r>
      <w:r w:rsidR="00620697">
        <w:rPr>
          <w:noProof/>
        </w:rPr>
        <w:t>(De Waal, 1988; Palagi, 2006)</w:t>
      </w:r>
      <w:r w:rsidR="00620697">
        <w:fldChar w:fldCharType="end"/>
      </w:r>
      <w:r w:rsidR="00620697">
        <w:t xml:space="preserve"> which varied in intensity and the number of </w:t>
      </w:r>
      <w:r w:rsidR="00620697">
        <w:lastRenderedPageBreak/>
        <w:t xml:space="preserve">AUs engaged. </w:t>
      </w:r>
      <w:r w:rsidR="00E8088C">
        <w:t>E</w:t>
      </w:r>
      <w:r>
        <w:t xml:space="preserve">ach </w:t>
      </w:r>
      <w:r w:rsidR="00E8088C">
        <w:t>expression was produced using AU</w:t>
      </w:r>
      <w:r w:rsidR="001B4528">
        <w:t>s</w:t>
      </w:r>
      <w:r w:rsidR="00E8088C">
        <w:t xml:space="preserve"> from </w:t>
      </w:r>
      <w:proofErr w:type="spellStart"/>
      <w:r>
        <w:t>BonoboFACS</w:t>
      </w:r>
      <w:proofErr w:type="spellEnd"/>
      <w:r>
        <w:t xml:space="preserve"> </w:t>
      </w:r>
      <w:r>
        <w:fldChar w:fldCharType="begin"/>
      </w:r>
      <w:r>
        <w:instrText xml:space="preserve"> ADDIN ZOTERO_ITEM CSL_CITATION {"citationID":"6jl4VGd7","properties":{"formattedCitation":"(Correia-Caeiro et al., 2025)","plainCitation":"(Correia-Caeiro et al., 2025)","noteIndex":0},"citationItems":[{"id":38,"uris":["http://zotero.org/users/18724519/items/LGR6AIEQ"],"itemData":{"id":38,"type":"article-journal","abstract":"The Facial Action Coding System (FACS) is a widely recognised coding scheme for analysing human facial behaviour, providing an objective method to quantify discrete movements associated with facial muscles, known as Action Units (AUs), and reducing subjective bias. FACS has been adapted for nine other taxa, including apes, macaques, and domestic animals, but not yet bonobos. To carry out cross species studies of facial behaviours within and beyond apes, it is essential to include bonobos. Hence, we aimed at adapting FACS for bonobos. We followed a similar methodology as in previous FACS adaptations: first, we examined the facial muscular plan of bonobos from previously published dissections. Given the similarity between bonobo and chimpanzee musculature, we tested if ChimpFACS for chimpanzees could be applied to bonobos. Second, we used ChimpFACS to analyse spontaneous facial behaviour in bonobos through videos recorded in various contexts. Third, we noted any differences in appearance changes between the AUs included in ChimpFACS and the AUs observed in bonobos. Our findings showed that bonobos exhibit all the facial movements observed in chimpanzees, and thus ChimpFACS can reliably be applied to bonobos. Bonobos presented a diverse repertoire of 28 facial movements (22 AUs, three Action Descriptors, and three Ear Action Descriptors). Although the range of facial movement is lower than in humans, bonobo’s potential for facial movement is comparable to that of chimpanzees, underscoring the significance of this behaviour modality during social interactions for both species. The ChimpFACS Extension for bonobos is an objective coding scheme for measuring facial movements in bonobos, designed to be used in conjunction with ChimpFACS. This coding scheme extension will allow us to better understand bonobos’ behaviour and communication, with practical applications for assessing their welfare, particularly in human care. It also provides a framework for comparing primate species, contributing to insights into the origin and evolution of facial emotion and communication.","container-title":"PeerJ (San Francisco, CA)","DOI":"10.7717/peerj.19484","ISSN":"2167-8359","language":"eng","note":"publisher-place: United States","page":"e19484-","publisher":"PeerJ. Ltd","source":"llr.primo.exlibrisgroup.com","title":"Adapting the facial action coding system for chimpanzees ( Pan troglodytes ) to bonobos ( Pan paniscus ): the ChimpFACS extension for bonobos","title-short":"Adapting the facial action coding system for chimpanzees ( Pan troglodytes ) to bonobos ( Pan paniscus )","volume":"13","author":[{"family":"Correia-Caeiro","given":"Catia"},{"family":"Kuchenbuch","given":"Paul Henrik"},{"family":"Oña","given":"Linda S."},{"family":"Wegdell","given":"Franziska"},{"family":"Leroux","given":"Maël"},{"family":"Schuele","given":"André"},{"family":"Taglialatela","given":"Jared"},{"family":"Townsend","given":"Simon"},{"family":"Surbeck","given":"Martin"},{"family":"Waller","given":"Bridget M."},{"family":"Liebal","given":"Katja"}],"issued":{"date-parts":[["2025"]]}}}],"schema":"https://github.com/citation-style-language/schema/raw/master/csl-citation.json"} </w:instrText>
      </w:r>
      <w:r>
        <w:fldChar w:fldCharType="separate"/>
      </w:r>
      <w:r>
        <w:rPr>
          <w:noProof/>
        </w:rPr>
        <w:t>(Correia-Caeiro et al., 2025)</w:t>
      </w:r>
      <w:r>
        <w:fldChar w:fldCharType="end"/>
      </w:r>
      <w:r>
        <w:t xml:space="preserve">. </w:t>
      </w:r>
    </w:p>
    <w:p w14:paraId="7638E033" w14:textId="77777777" w:rsidR="006D4A52" w:rsidRDefault="006D4A52" w:rsidP="00BF592D"/>
    <w:p w14:paraId="6790A457" w14:textId="77777777" w:rsidR="00AF05A3" w:rsidRDefault="002E6CF4" w:rsidP="00AF05A3">
      <w:pPr>
        <w:keepNext/>
        <w:jc w:val="center"/>
      </w:pPr>
      <w:r>
        <w:rPr>
          <w:noProof/>
        </w:rPr>
        <w:drawing>
          <wp:inline distT="0" distB="0" distL="0" distR="0" wp14:anchorId="5DC7944C" wp14:editId="21A867C1">
            <wp:extent cx="4112916" cy="3088106"/>
            <wp:effectExtent l="0" t="0" r="1905" b="0"/>
            <wp:docPr id="575735892" name="Picture 8" descr="A collage of a m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35892" name="Picture 8" descr="A collage of a monke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2969" cy="3185754"/>
                    </a:xfrm>
                    <a:prstGeom prst="rect">
                      <a:avLst/>
                    </a:prstGeom>
                  </pic:spPr>
                </pic:pic>
              </a:graphicData>
            </a:graphic>
          </wp:inline>
        </w:drawing>
      </w:r>
    </w:p>
    <w:p w14:paraId="3046E200" w14:textId="1B0FDA49" w:rsidR="001A1D44" w:rsidRDefault="00AF05A3" w:rsidP="00AF05A3">
      <w:pPr>
        <w:pStyle w:val="Caption"/>
      </w:pPr>
      <w:r>
        <w:t xml:space="preserve">Figure </w:t>
      </w:r>
      <w:r w:rsidR="003675BA">
        <w:fldChar w:fldCharType="begin"/>
      </w:r>
      <w:r w:rsidR="003675BA">
        <w:instrText xml:space="preserve"> SEQ Figure \* ARABIC </w:instrText>
      </w:r>
      <w:r w:rsidR="003675BA">
        <w:fldChar w:fldCharType="separate"/>
      </w:r>
      <w:r w:rsidR="003675BA">
        <w:rPr>
          <w:noProof/>
        </w:rPr>
        <w:t>2</w:t>
      </w:r>
      <w:r w:rsidR="003675BA">
        <w:rPr>
          <w:noProof/>
        </w:rPr>
        <w:fldChar w:fldCharType="end"/>
      </w:r>
      <w:r>
        <w:t xml:space="preserve">. </w:t>
      </w:r>
      <w:r w:rsidRPr="00035AD1">
        <w:t xml:space="preserve"> Stimuli set for one familiar individual showing the six different play-associated facial expressions each with a different combination of action units (AUs) engaged.</w:t>
      </w:r>
    </w:p>
    <w:p w14:paraId="4CF9FEEE" w14:textId="1230AEF7" w:rsidR="00ED644F" w:rsidRDefault="004964D6" w:rsidP="00BF592D">
      <w:r>
        <w:t xml:space="preserve">An expressivity score of each face was calculated as the number of AUs engaged in the face. For the analyses, faces were assigned as either the </w:t>
      </w:r>
      <w:proofErr w:type="gramStart"/>
      <w:r>
        <w:t>more or less expressive</w:t>
      </w:r>
      <w:proofErr w:type="gramEnd"/>
      <w:r>
        <w:t xml:space="preserve"> face based on their expressivity score. We then calculated the expressivity difference for each stimulus as the difference between the number of AUs engaged in the more expressive face and the less expressive face</w:t>
      </w:r>
      <w:r w:rsidRPr="5BD12BAA">
        <w:rPr>
          <w:rFonts w:eastAsiaTheme="minorEastAsia"/>
        </w:rPr>
        <w:t>.</w:t>
      </w:r>
      <w:r>
        <w:rPr>
          <w:rFonts w:eastAsiaTheme="minorEastAsia"/>
        </w:rPr>
        <w:t xml:space="preserve"> </w:t>
      </w:r>
      <w:r>
        <w:t>For each of the four familiar individuals represented in the stimuli, we analysed 26 unique stimuli</w:t>
      </w:r>
      <w:r w:rsidR="0013204E">
        <w:t xml:space="preserve"> pairs </w:t>
      </w:r>
      <w:r w:rsidR="00141E23">
        <w:t>(</w:t>
      </w:r>
      <w:r w:rsidR="00141E23">
        <w:fldChar w:fldCharType="begin"/>
      </w:r>
      <w:r w:rsidR="00141E23">
        <w:instrText xml:space="preserve"> REF _Ref223011595 \h </w:instrText>
      </w:r>
      <w:r w:rsidR="00141E23">
        <w:fldChar w:fldCharType="separate"/>
      </w:r>
      <w:r w:rsidR="00141E23">
        <w:t xml:space="preserve">Figure </w:t>
      </w:r>
      <w:r w:rsidR="00141E23">
        <w:rPr>
          <w:noProof/>
        </w:rPr>
        <w:t>3</w:t>
      </w:r>
      <w:r w:rsidR="00141E23">
        <w:fldChar w:fldCharType="end"/>
      </w:r>
      <w:r w:rsidR="00141E23">
        <w:t>)</w:t>
      </w:r>
      <w:r>
        <w:t xml:space="preserve"> each of the six AU combinations was paired with every other AU combination of a different expressivity score, and the stimuli were counterbalanced by which side they appeared on. This provided 104 stimuli. For each subject, stimuli were presented in a random order for stimulus identity and AU combinations. </w:t>
      </w:r>
    </w:p>
    <w:p w14:paraId="6E50ED7D" w14:textId="77777777" w:rsidR="006D4A52" w:rsidRDefault="006D4A52" w:rsidP="00BF592D"/>
    <w:p w14:paraId="66A2CA19" w14:textId="77777777" w:rsidR="00141E23" w:rsidRDefault="003A7E20" w:rsidP="004C5BB3">
      <w:pPr>
        <w:keepNext/>
        <w:jc w:val="center"/>
      </w:pPr>
      <w:r>
        <w:rPr>
          <w:noProof/>
        </w:rPr>
        <w:drawing>
          <wp:inline distT="0" distB="0" distL="0" distR="0" wp14:anchorId="0F3ACACA" wp14:editId="48169E8D">
            <wp:extent cx="4957011" cy="2009495"/>
            <wp:effectExtent l="0" t="0" r="0" b="0"/>
            <wp:docPr id="145536899" name="Picture 9" descr="A collage of a m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6899" name="Picture 9" descr="A collage of a monke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816" cy="2035361"/>
                    </a:xfrm>
                    <a:prstGeom prst="rect">
                      <a:avLst/>
                    </a:prstGeom>
                  </pic:spPr>
                </pic:pic>
              </a:graphicData>
            </a:graphic>
          </wp:inline>
        </w:drawing>
      </w:r>
    </w:p>
    <w:p w14:paraId="53FB8715" w14:textId="34A4413B" w:rsidR="0083678D" w:rsidRDefault="00141E23" w:rsidP="00141E23">
      <w:pPr>
        <w:pStyle w:val="Caption"/>
      </w:pPr>
      <w:bookmarkStart w:id="0" w:name="_Ref223011595"/>
      <w:r>
        <w:t xml:space="preserve">Figure </w:t>
      </w:r>
      <w:r w:rsidR="003675BA">
        <w:fldChar w:fldCharType="begin"/>
      </w:r>
      <w:r w:rsidR="003675BA">
        <w:instrText xml:space="preserve"> SEQ Figure \* ARABIC </w:instrText>
      </w:r>
      <w:r w:rsidR="003675BA">
        <w:fldChar w:fldCharType="separate"/>
      </w:r>
      <w:r w:rsidR="003675BA">
        <w:rPr>
          <w:noProof/>
        </w:rPr>
        <w:t>3</w:t>
      </w:r>
      <w:r w:rsidR="003675BA">
        <w:rPr>
          <w:noProof/>
        </w:rPr>
        <w:fldChar w:fldCharType="end"/>
      </w:r>
      <w:bookmarkEnd w:id="0"/>
      <w:r>
        <w:t>.</w:t>
      </w:r>
      <w:r w:rsidRPr="009614E8">
        <w:t xml:space="preserve"> One of the familiar stimuli, with the less expressive face on the left (AU12+25+26) and the more expressive face on the right (AU10+12+16+25+27).</w:t>
      </w:r>
    </w:p>
    <w:p w14:paraId="2BDF300B" w14:textId="2C9ED306" w:rsidR="0083678D" w:rsidRDefault="00B9514E" w:rsidP="00B9514E">
      <w:pPr>
        <w:pStyle w:val="Heading3"/>
      </w:pPr>
      <w:r>
        <w:lastRenderedPageBreak/>
        <w:t xml:space="preserve">Eye tracking setup and procedure </w:t>
      </w:r>
    </w:p>
    <w:p w14:paraId="5712E929" w14:textId="65118FFD" w:rsidR="0096610D" w:rsidRDefault="0096610D" w:rsidP="0096610D">
      <w:r>
        <w:t>A non-invasive remote infrared eye tracker (Tobii Pro Spectrum, sampling rate 600 Hz) was used to record bonobo eye movements when observing stimuli on a 23.8-inch screen (</w:t>
      </w:r>
      <w:r>
        <w:fldChar w:fldCharType="begin"/>
      </w:r>
      <w:r>
        <w:instrText xml:space="preserve"> REF _Ref216258041 \h </w:instrText>
      </w:r>
      <w:r>
        <w:fldChar w:fldCharType="separate"/>
      </w:r>
      <w:r>
        <w:t xml:space="preserve">Figure </w:t>
      </w:r>
      <w:r>
        <w:rPr>
          <w:noProof/>
        </w:rPr>
        <w:t>4</w:t>
      </w:r>
      <w:r>
        <w:fldChar w:fldCharType="end"/>
      </w:r>
      <w:r>
        <w:t>). At the start of each trial,</w:t>
      </w:r>
      <w:r w:rsidRPr="00E11DA9">
        <w:t xml:space="preserve"> </w:t>
      </w:r>
      <w:r>
        <w:t>an attention grabber (a moving animated object) was presented to focus the subject’s gaze</w:t>
      </w:r>
      <w:r w:rsidRPr="00371DAE">
        <w:t xml:space="preserve"> </w:t>
      </w:r>
      <w:r>
        <w:t>on the centre of the screen. Once the subject looked at the attention grabber for 100 milliseconds the stimulus was automatically presented. Stimuli appeared on the screen for 5 seconds, followed by another attention grabber. Stimuli were presented in blocks of 6. Each stimulus featured two areas of interest (AOI</w:t>
      </w:r>
      <w:r w:rsidR="009A2921">
        <w:t>):</w:t>
      </w:r>
      <w:r>
        <w:t xml:space="preserve"> the more expressive face and the less expressive face. </w:t>
      </w:r>
      <w:r w:rsidR="006C67D5">
        <w:t>S</w:t>
      </w:r>
      <w:r>
        <w:t xml:space="preserve">ubjects viewed a maximum of 17 stimuli per day, although this was typically much less (mean = 8.6). Stimuli were presented in a random order for each subject. </w:t>
      </w:r>
      <w:r w:rsidR="0084452C">
        <w:t>A total of 581 eye tracking trials were. Only one subject viewed all 104 stimuli, whilst other subjects viewed 14 - 86 stimuli (Mean = 60.2, SD = 44.3).</w:t>
      </w:r>
      <w:r w:rsidR="0021576E" w:rsidRPr="0021576E">
        <w:t xml:space="preserve"> </w:t>
      </w:r>
      <w:r w:rsidR="0021576E">
        <w:t xml:space="preserve"> </w:t>
      </w:r>
    </w:p>
    <w:p w14:paraId="2DC841DD" w14:textId="77777777" w:rsidR="00B9514E" w:rsidRPr="00B9514E" w:rsidRDefault="00B9514E" w:rsidP="00B9514E"/>
    <w:p w14:paraId="4ED0B061" w14:textId="77777777" w:rsidR="003675BA" w:rsidRDefault="002224F6" w:rsidP="003675BA">
      <w:pPr>
        <w:keepNext/>
        <w:jc w:val="center"/>
      </w:pPr>
      <w:r>
        <w:rPr>
          <w:noProof/>
        </w:rPr>
        <w:drawing>
          <wp:inline distT="0" distB="0" distL="0" distR="0" wp14:anchorId="3BB87380" wp14:editId="2E263B05">
            <wp:extent cx="3705308" cy="2682980"/>
            <wp:effectExtent l="0" t="0" r="3175" b="0"/>
            <wp:docPr id="1371053309" name="Picture 4" descr="A person wearing a mask and gloves sitt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53309" name="Picture 4" descr="A person wearing a mask and gloves sitting in fron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l="7365" t="20019" r="3022" b="31316"/>
                    <a:stretch>
                      <a:fillRect/>
                    </a:stretch>
                  </pic:blipFill>
                  <pic:spPr bwMode="auto">
                    <a:xfrm>
                      <a:off x="0" y="0"/>
                      <a:ext cx="3798939" cy="2750778"/>
                    </a:xfrm>
                    <a:prstGeom prst="rect">
                      <a:avLst/>
                    </a:prstGeom>
                    <a:ln>
                      <a:noFill/>
                    </a:ln>
                    <a:extLst>
                      <a:ext uri="{53640926-AAD7-44D8-BBD7-CCE9431645EC}">
                        <a14:shadowObscured xmlns:a14="http://schemas.microsoft.com/office/drawing/2010/main"/>
                      </a:ext>
                    </a:extLst>
                  </pic:spPr>
                </pic:pic>
              </a:graphicData>
            </a:graphic>
          </wp:inline>
        </w:drawing>
      </w:r>
    </w:p>
    <w:p w14:paraId="3057E96F" w14:textId="6A35D4DA" w:rsidR="0013204E" w:rsidRDefault="003675BA" w:rsidP="00782AA1">
      <w:pPr>
        <w:pStyle w:val="Caption"/>
        <w:jc w:val="cente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105FCB">
        <w:t xml:space="preserve"> Experimental eye tracking set up with the bonobos at Twycross Zoo.</w:t>
      </w:r>
    </w:p>
    <w:p w14:paraId="5C616C4E" w14:textId="77777777" w:rsidR="00D0535E" w:rsidRDefault="00D0535E" w:rsidP="00D0535E">
      <w:pPr>
        <w:pStyle w:val="Heading3"/>
      </w:pPr>
      <w:r>
        <w:t>Attention bias data</w:t>
      </w:r>
    </w:p>
    <w:p w14:paraId="579A7AAF" w14:textId="7EF57B79" w:rsidR="00D0535E" w:rsidRDefault="00BD0287" w:rsidP="00BD0287">
      <w:r>
        <w:t xml:space="preserve">Total fixation duration was used to measure looking time towards the two areas of interest: the more expressive face and the less expressive face. To calculate the difference in looking time between the two faces, we used attention bias to the more expressive face: the subject’s total fixation duration towards the more expressive face minus the subject’s total fixation duration towards the less expressive face. </w:t>
      </w:r>
    </w:p>
    <w:p w14:paraId="60F86BF9" w14:textId="392B925B" w:rsidR="00286596" w:rsidRDefault="0059445F" w:rsidP="0059445F">
      <w:pPr>
        <w:pStyle w:val="Heading3"/>
      </w:pPr>
      <w:r>
        <w:t xml:space="preserve">Behavioural </w:t>
      </w:r>
      <w:r w:rsidR="0082286F">
        <w:t>data collection</w:t>
      </w:r>
    </w:p>
    <w:p w14:paraId="60A578CE" w14:textId="0C6DE1A8" w:rsidR="00FC6FCD" w:rsidRDefault="00627979" w:rsidP="00627979">
      <w:r>
        <w:t xml:space="preserve">Behavioural observations were recorded for all individuals on 33 days over </w:t>
      </w:r>
      <w:r w:rsidR="008C23A0">
        <w:t>a</w:t>
      </w:r>
      <w:r>
        <w:t xml:space="preserve"> 5-month period (April – September 2024). </w:t>
      </w:r>
      <w:r w:rsidR="00BC0F13">
        <w:t>Social interactions</w:t>
      </w:r>
      <w:r>
        <w:t xml:space="preserve"> between all bonobos were recorded using focal animal sampling </w:t>
      </w:r>
      <w:r w:rsidR="0085474D">
        <w:fldChar w:fldCharType="begin"/>
      </w:r>
      <w:r w:rsidR="0085474D">
        <w:instrText xml:space="preserve"> ADDIN ZOTERO_ITEM CSL_CITATION {"citationID":"t4T4K9qP","properties":{"formattedCitation":"(Altmann, 1974)","plainCitation":"(Altmann, 1974)","noteIndex":0},"citationItems":[{"id":8,"uris":["http://zotero.org/users/18724519/items/9HXNSBWN"],"itemData":{"id":8,"type":"article-journal","abstract":"AbstractSeven major types of sampling for observational studies of social behavior have been found in the literature. These methods differ considerably in their suitability for providing unbiased data of various kinds. Below is a summary of the major recommended uses of each technique: In this paper, I have tried to point out the major strengths and weaknesses of each sampling method. Some methods are intrinsically biased with respect to many variables, others to fewer. In choosing a sampling method the main question is whether the procedure results in a biased sample of the variables under study. A method can produce a biased sample directly, as a result of intrinsic bias with respect to a study variable, or secondarily due to some degree of dependence (correlation) between the study variable and a directly-biased variable. In order to choose a sampling technique, the observer needs to consider carefully the characteristics of behavior and social interactions that are relevant to the study population and the research questions at hand. In most studies one will not have adequate empirical knowledge of the dependencies between relevant variables. Under the circumstances, the observer should avoid intrinsic biases to whatever extent possible, in particular those that direcly affect the variables under study. Finally, it will often be possible to use more than one sampling method in a study. Such samples can be taken successively or, under favorable conditions, even concurrently. For example, we have found it possible to take Instantaneous Samples of the identities and distances of nearest neighbors of a focal individual at five or ten minute intervals during Focal-Animal (behavior) Samples on that individual. Often during Focal-Animal Sampling one can also record All Occurrences of Some Behaviors, for the whole social group, for categories of conspicuous behavior, such as predation, intergroup contact, drinking, and so on. The extent to which concurrent multiple sampling is feasible will depend very much on the behavior categories and rate of occurrence, the observational conditions, etc. Where feasible, such multiple sampling can greatly aid in the efficient use of research time.","container-title":"Behaviour","DOI":"10.1163/156853974X00534","ISSN":"0005-7959","issue":"3-4","language":"eng","note":"publisher-place: The Netherlands","page":"227–266","publisher":"BRILL","source":"llr.primo.exlibrisgroup.com","title":"Observational Study of Behavior: Sampling Methods","title-short":"Observational Study of Behavior","volume":"49","author":[{"family":"Altmann","given":"Jeanne"}],"issued":{"date-parts":[["1974"]]}}}],"schema":"https://github.com/citation-style-language/schema/raw/master/csl-citation.json"} </w:instrText>
      </w:r>
      <w:r w:rsidR="0085474D">
        <w:fldChar w:fldCharType="separate"/>
      </w:r>
      <w:r w:rsidR="0085474D">
        <w:rPr>
          <w:noProof/>
        </w:rPr>
        <w:t>(Altmann, 1974)</w:t>
      </w:r>
      <w:r w:rsidR="0085474D">
        <w:fldChar w:fldCharType="end"/>
      </w:r>
      <w:r>
        <w:t xml:space="preserve"> in the Animal Observer app </w:t>
      </w:r>
      <w:r>
        <w:fldChar w:fldCharType="begin"/>
      </w:r>
      <w:r>
        <w:instrText xml:space="preserve"> ADDIN ZOTERO_ITEM CSL_CITATION {"citationID":"hMYcrqTj","properties":{"formattedCitation":"(Caillaud, 2017)","plainCitation":"(Caillaud, 2017)","noteIndex":0},"citationItems":[{"id":86,"uris":["http://zotero.org/users/18724519/items/Q7MA92TQ"],"itemData":{"id":86,"type":"software","medium":"iOS","publisher":"Dian Fossey Gorilla Fund","title":"Animal Observer","URL":"https://fosseyfund.github.io/AOToolBox/index.html","version":"1.2.2","author":[{"family":"Caillaud","given":"Damien"}],"issued":{"date-parts":[["2017",7,14]]}}}],"schema":"https://github.com/citation-style-language/schema/raw/master/csl-citation.json"} </w:instrText>
      </w:r>
      <w:r>
        <w:fldChar w:fldCharType="separate"/>
      </w:r>
      <w:r>
        <w:rPr>
          <w:noProof/>
        </w:rPr>
        <w:t>(Caillaud, 2017)</w:t>
      </w:r>
      <w:r>
        <w:fldChar w:fldCharType="end"/>
      </w:r>
      <w:r>
        <w:t xml:space="preserve"> on an iPad. </w:t>
      </w:r>
      <w:proofErr w:type="spellStart"/>
      <w:r>
        <w:t>Focals</w:t>
      </w:r>
      <w:proofErr w:type="spellEnd"/>
      <w:r>
        <w:t xml:space="preserve"> lasted 20 minutes and were completed in a pseudo-random order. Play bouts were recorded as state events, with a new play bout starting if the individuals moved away from each other and stopped making eye-contact for at least 5 seconds and then started playing again. 207 </w:t>
      </w:r>
      <w:proofErr w:type="spellStart"/>
      <w:r>
        <w:t>focals</w:t>
      </w:r>
      <w:proofErr w:type="spellEnd"/>
      <w:r>
        <w:t xml:space="preserve"> were recorded (65.5 hours total, mean focal hours per individual = 4.68), with 383 play bouts observed. Grooming </w:t>
      </w:r>
      <w:r>
        <w:lastRenderedPageBreak/>
        <w:t xml:space="preserve">was recorded between all individuals using scan sampling </w:t>
      </w:r>
      <w:r>
        <w:fldChar w:fldCharType="begin"/>
      </w:r>
      <w:r>
        <w:instrText xml:space="preserve"> ADDIN ZOTERO_ITEM CSL_CITATION {"citationID":"HCWy9V9T","properties":{"formattedCitation":"(Altmann, 1974)","plainCitation":"(Altmann, 1974)","noteIndex":0},"citationItems":[{"id":8,"uris":["http://zotero.org/users/18724519/items/9HXNSBWN"],"itemData":{"id":8,"type":"article-journal","abstract":"AbstractSeven major types of sampling for observational studies of social behavior have been found in the literature. These methods differ considerably in their suitability for providing unbiased data of various kinds. Below is a summary of the major recommended uses of each technique: In this paper, I have tried to point out the major strengths and weaknesses of each sampling method. Some methods are intrinsically biased with respect to many variables, others to fewer. In choosing a sampling method the main question is whether the procedure results in a biased sample of the variables under study. A method can produce a biased sample directly, as a result of intrinsic bias with respect to a study variable, or secondarily due to some degree of dependence (correlation) between the study variable and a directly-biased variable. In order to choose a sampling technique, the observer needs to consider carefully the characteristics of behavior and social interactions that are relevant to the study population and the research questions at hand. In most studies one will not have adequate empirical knowledge of the dependencies between relevant variables. Under the circumstances, the observer should avoid intrinsic biases to whatever extent possible, in particular those that direcly affect the variables under study. Finally, it will often be possible to use more than one sampling method in a study. Such samples can be taken successively or, under favorable conditions, even concurrently. For example, we have found it possible to take Instantaneous Samples of the identities and distances of nearest neighbors of a focal individual at five or ten minute intervals during Focal-Animal (behavior) Samples on that individual. Often during Focal-Animal Sampling one can also record All Occurrences of Some Behaviors, for the whole social group, for categories of conspicuous behavior, such as predation, intergroup contact, drinking, and so on. The extent to which concurrent multiple sampling is feasible will depend very much on the behavior categories and rate of occurrence, the observational conditions, etc. Where feasible, such multiple sampling can greatly aid in the efficient use of research time.","container-title":"Behaviour","DOI":"10.1163/156853974X00534","ISSN":"0005-7959","issue":"3-4","language":"eng","note":"publisher-place: The Netherlands","page":"227–266","publisher":"BRILL","source":"llr.primo.exlibrisgroup.com","title":"Observational Study of Behavior: Sampling Methods","title-short":"Observational Study of Behavior","volume":"49","author":[{"family":"Altmann","given":"Jeanne"}],"issued":{"date-parts":[["1974"]]}}}],"schema":"https://github.com/citation-style-language/schema/raw/master/csl-citation.json"} </w:instrText>
      </w:r>
      <w:r>
        <w:fldChar w:fldCharType="separate"/>
      </w:r>
      <w:r>
        <w:rPr>
          <w:noProof/>
        </w:rPr>
        <w:t>(Altmann, 1974)</w:t>
      </w:r>
      <w:r>
        <w:fldChar w:fldCharType="end"/>
      </w:r>
      <w:r>
        <w:t xml:space="preserve"> every 2 minutes during focal observations. 3443 scans were recorded, with 394 grooming sessions recorded. Observations were made from the visitor’s area of the zoo when individuals were in either the outdoor or indoor parts of their enclosures. </w:t>
      </w:r>
    </w:p>
    <w:p w14:paraId="5B1AF5B7" w14:textId="3D6E51CB" w:rsidR="000079F0" w:rsidRDefault="000079F0" w:rsidP="000079F0">
      <w:pPr>
        <w:pStyle w:val="Heading3"/>
      </w:pPr>
      <w:r>
        <w:t>Statistical analyses</w:t>
      </w:r>
    </w:p>
    <w:p w14:paraId="487C1A9F" w14:textId="436BA07A" w:rsidR="008C6C40" w:rsidRDefault="008C6C40" w:rsidP="008C6C40">
      <w:r>
        <w:t xml:space="preserve">We investigated how different aspects of the subject’s social environment impacted their attention to different facial expressions. Linear mixed effects models were built in R </w:t>
      </w:r>
      <w:r>
        <w:fldChar w:fldCharType="begin"/>
      </w:r>
      <w:r>
        <w:instrText xml:space="preserve"> ADDIN ZOTERO_ITEM CSL_CITATION {"citationID":"EaABCh3h","properties":{"formattedCitation":"(R Core Team, 2025)","plainCitation":"(R Core Team, 2025)","noteIndex":0},"citationItems":[{"id":92,"uris":["http://zotero.org/users/18724519/items/LLWY597C"],"itemData":{"id":92,"type":"software","publisher":"R Foundation for Statistical Computing","publisher-place":"Vienna, Austria","title":"R: A Language and Environment for Statistical Computing.","URL":"https://www.R-project.org/","author":[{"family":"R Core Team","given":""}],"issued":{"date-parts":[["2025"]]}}}],"schema":"https://github.com/citation-style-language/schema/raw/master/csl-citation.json"} </w:instrText>
      </w:r>
      <w:r>
        <w:fldChar w:fldCharType="separate"/>
      </w:r>
      <w:r>
        <w:rPr>
          <w:noProof/>
        </w:rPr>
        <w:t>(R Core Team, 2025)</w:t>
      </w:r>
      <w:r>
        <w:fldChar w:fldCharType="end"/>
      </w:r>
      <w:r>
        <w:t>, using the function ‘</w:t>
      </w:r>
      <w:proofErr w:type="spellStart"/>
      <w:r>
        <w:t>lmer</w:t>
      </w:r>
      <w:proofErr w:type="spellEnd"/>
      <w:r>
        <w:t xml:space="preserve">’ in package ‘lme4’. Attention bias to the more expressive face was set as the outcome variable for all the models. </w:t>
      </w:r>
    </w:p>
    <w:p w14:paraId="020E1B78" w14:textId="6DAEFCCB" w:rsidR="000079F0" w:rsidRDefault="00604300" w:rsidP="00604300">
      <w:pPr>
        <w:pStyle w:val="Heading2"/>
      </w:pPr>
      <w:r>
        <w:t>Results</w:t>
      </w:r>
    </w:p>
    <w:p w14:paraId="3DDAD27A" w14:textId="66EE7B0B" w:rsidR="00C41155" w:rsidRDefault="00B8396F" w:rsidP="00C41155">
      <w:r>
        <w:t>A</w:t>
      </w:r>
      <w:r w:rsidRPr="000853FA">
        <w:t xml:space="preserve"> sig</w:t>
      </w:r>
      <w:r>
        <w:t>nificant main effect was found for the subject’s play rate with their group on their attention bias to the more expressive face (</w:t>
      </w:r>
      <w:r>
        <w:rPr>
          <w:rFonts w:ascii="Symbol" w:eastAsia="Symbol" w:hAnsi="Symbol" w:cs="Symbol"/>
        </w:rPr>
        <w:t>b</w:t>
      </w:r>
      <w:r>
        <w:t xml:space="preserve"> = 0.324, SE = 0.129, </w:t>
      </w:r>
      <w:proofErr w:type="gramStart"/>
      <w:r w:rsidRPr="00493EB0">
        <w:rPr>
          <w:i/>
          <w:iCs/>
        </w:rPr>
        <w:t>t</w:t>
      </w:r>
      <w:r>
        <w:t>(</w:t>
      </w:r>
      <w:proofErr w:type="gramEnd"/>
      <w:r>
        <w:t xml:space="preserve">310) = 2.519, </w:t>
      </w:r>
      <w:r w:rsidRPr="009D0E2E">
        <w:rPr>
          <w:i/>
          <w:iCs/>
        </w:rPr>
        <w:t>p</w:t>
      </w:r>
      <w:r>
        <w:t xml:space="preserve"> = 0.012). When subjects were housed with individuals who they play with more often, their attention bias to the more expressive face increased. </w:t>
      </w:r>
      <w:bookmarkStart w:id="1" w:name="_Hlk220934049"/>
      <w:r w:rsidR="00C41155">
        <w:t xml:space="preserve">There was also a significant interaction effect between the subject’s play rate with their current group and the expressivity difference between the faces on attention bias to the more expressive face </w:t>
      </w:r>
      <w:bookmarkEnd w:id="1"/>
      <w:r w:rsidR="00C41155">
        <w:t>(</w:t>
      </w:r>
      <w:r w:rsidR="00C41155">
        <w:rPr>
          <w:rFonts w:ascii="Symbol" w:eastAsia="Symbol" w:hAnsi="Symbol" w:cs="Symbol"/>
        </w:rPr>
        <w:t>b</w:t>
      </w:r>
      <w:r w:rsidR="00C41155">
        <w:t xml:space="preserve"> = -0.202, SE = 0.076, </w:t>
      </w:r>
      <w:proofErr w:type="gramStart"/>
      <w:r w:rsidR="00C41155" w:rsidRPr="00493EB0">
        <w:rPr>
          <w:i/>
          <w:iCs/>
        </w:rPr>
        <w:t>t</w:t>
      </w:r>
      <w:r w:rsidR="00C41155">
        <w:t>(</w:t>
      </w:r>
      <w:proofErr w:type="gramEnd"/>
      <w:r w:rsidR="00C41155">
        <w:t xml:space="preserve">310) = -2.672, </w:t>
      </w:r>
      <w:r w:rsidR="00C41155" w:rsidRPr="009D0E2E">
        <w:rPr>
          <w:i/>
          <w:iCs/>
        </w:rPr>
        <w:t>p</w:t>
      </w:r>
      <w:r w:rsidR="00C41155">
        <w:t xml:space="preserve"> = 0.008). As expressivity difference between the faces in the stimuli increased, the positive impact of subjects play rate with the group on attention bias became weaker. In fact, when expressivity difference was high, the subject’s play rate with their group appeared to have a negative relationship with an individual’s attention bias towards the more expressive face, whereby an increase in the subject’s play rate with their group decreased their attention bias to the more expressive face. Therefore, it appears that main effect of subject’s play rate with group was driven by those trials where expressivity difference was low, of which there were more exemplars.</w:t>
      </w:r>
    </w:p>
    <w:p w14:paraId="33449DFE" w14:textId="77777777" w:rsidR="00FB3CE3" w:rsidRDefault="00FB3CE3" w:rsidP="00C41155"/>
    <w:p w14:paraId="315257C3" w14:textId="16AB8343" w:rsidR="00752BDA" w:rsidRDefault="00FB3CE3" w:rsidP="00FB3CE3">
      <w:r>
        <w:t xml:space="preserve">We found no significant difference found for the subject’s grooming rate with group, </w:t>
      </w:r>
      <w:r w:rsidR="0018011F">
        <w:t xml:space="preserve">subject’s play rate with stimulus, subject’s grooming rate with stimulus, </w:t>
      </w:r>
      <w:r>
        <w:t>expressivity difference as a main effect, subject age, subject sex,</w:t>
      </w:r>
      <w:r w:rsidR="00752BDA">
        <w:t xml:space="preserve"> stimuli age, stimuli sex, or</w:t>
      </w:r>
      <w:r>
        <w:t xml:space="preserve"> number of groupmates</w:t>
      </w:r>
      <w:r w:rsidR="00752BDA">
        <w:t xml:space="preserve"> </w:t>
      </w:r>
      <w:r>
        <w:t xml:space="preserve">on attention to the more expressive face. </w:t>
      </w:r>
    </w:p>
    <w:p w14:paraId="25EE3E86" w14:textId="5E1E3F82" w:rsidR="00752BDA" w:rsidRDefault="00752BDA" w:rsidP="00752BDA">
      <w:pPr>
        <w:pStyle w:val="Heading2"/>
      </w:pPr>
      <w:r>
        <w:t>Discussion</w:t>
      </w:r>
    </w:p>
    <w:p w14:paraId="18B02B9E" w14:textId="5B795F13" w:rsidR="0055110F" w:rsidRDefault="0055110F" w:rsidP="0055110F">
      <w:r>
        <w:t>This study combined eye tracking data with behavioural measures to investigate how the transient aspects of bonobos social environments influence their attention and processing of conspecific facial expressions. We predicted that by being situated in a group that you (1) play with more often and (2) groom with more often would increase an individual’s bias towards more expressive play faces. We also predicted that (3) having a stronger relationship with the individual represented in the stimulus would also increase bias towards their more expressive faces. Additionally, we expected that (4) these effects would be moderated by expressivity difference, with greater expressivity difference amplifying the observed effects. We found evidence to support our first hypothesis, with a significant increase in the subject’s attention to the more expressive face when situated in groups which they play with more often. However, this impact on attentional bias was not affected by the presence of groupmates that they groom with frequently or by the subject’s play and grooming relationship with the stimuli.</w:t>
      </w:r>
      <w:r w:rsidR="00653A77">
        <w:t xml:space="preserve"> </w:t>
      </w:r>
      <w:r>
        <w:lastRenderedPageBreak/>
        <w:t>Furthermore, we found that expressivity difference did moderate attention bias when situated within a playful group, but not in the direction that was predicted.</w:t>
      </w:r>
    </w:p>
    <w:p w14:paraId="6862D44B" w14:textId="77777777" w:rsidR="00BA2D48" w:rsidRDefault="00BA2D48" w:rsidP="0055110F"/>
    <w:p w14:paraId="20C3D0BB" w14:textId="0C4D2E46" w:rsidR="00BA2D48" w:rsidRDefault="00BA2D48" w:rsidP="0055110F">
      <w:r>
        <w:t>These findings show that aspects of bonobos current social environment impact their attention to facial expressions. Specifically, when surrounded by individuals they find more playful it increased their attention to more expressive play associated facial expressions, suggesting that bonobos recent social experiences may directly influence their patterns of attention.</w:t>
      </w:r>
      <w:r w:rsidR="004F49BC">
        <w:t xml:space="preserve"> This study provides evidence that facial expression processing is not a universal, fixed system as it was historically believed to be </w:t>
      </w:r>
      <w:r w:rsidR="004F49BC" w:rsidRPr="00FA0A69">
        <w:rPr>
          <w:rFonts w:eastAsia="Calibri" w:cs="Calibri"/>
          <w:color w:val="000000" w:themeColor="text1"/>
        </w:rPr>
        <w:fldChar w:fldCharType="begin"/>
      </w:r>
      <w:r w:rsidR="004F49BC">
        <w:rPr>
          <w:rFonts w:eastAsia="Calibri" w:cs="Calibri"/>
          <w:color w:val="000000" w:themeColor="text1"/>
        </w:rPr>
        <w:instrText xml:space="preserve"> ADDIN ZOTERO_ITEM CSL_CITATION {"citationID":"mgE3Ta5I","properties":{"formattedCitation":"(Darwin, 1872; Ekman et al., 1969; Izard, 1994; Tomkins, 1962)","plainCitation":"(Darwin, 1872; Ekman et al., 1969; Izard, 1994; Tomkins, 1962)","noteIndex":0},"citationItems":[{"id":116,"uris":["http://zotero.org/users/18724519/items/Q5QKH5FQ"],"itemData":{"id":116,"type":"book","abstract":"When this monograph was first published in 1872, there already existed a good deal of thought on facial expression via the study of physiognomy; this work, notes Charles Darwin (1809–82), was full of 'surprising nonsense'. Setting aside the assumption of previous studies that human facial muscles were created specifically for a range of expressions unique to the species, Darwin sets out here to make a systematic study of both human and animal expression. The range of his research is extraordinarily wide: he not only experimented on himself, but observed infants, consulted doctors in psychiatric hospitals and sent out requests to missionaries and travellers for first-hand notes on the expressions of aboriginal peoples. Learned, meticulous and illustrated with an impressive array of drawings, photographs and engravings, Darwin's work stands as an important contribution to the study of human behaviour and its origins.","collection-title":"Cambridge Library Collection - Darwin, Evolution and Genetics","DOI":"10.1017/CBO9781139833813","ISBN":"978-1-108-06183-4","language":"eng","publisher":"Cambridge University Press","source":"llr.primo.exlibrisgroup.com","title":"The Expression of the Emotions in Man and Animals","author":[{"family":"Darwin","given":"Charles"}],"issued":{"date-parts":[["1872"]]}}},{"id":205,"uris":["http://zotero.org/users/18724519/items/S5RWZEMF"],"itemData":{"id":205,"type":"article-journal","abstract":"Observers in both literate and preliterate cultures chose the predicted emotion for photographs of the face, although agreement was higher in the literate samples. These findings suggest that the pan-cultural element in facial displays of emotion is the association between facial muscular movements and discrete primary emotions, although cultures may still differ in what evokes an emotion, in rules for controlling the display of emotion, and in behavioral consequences.","container-title":"Science","DOI":"10.1126/science.164.3875.86","ISSN":"0036-8075","issue":"3875","language":"eng","page":"86–88","publisher":"AAAS","publisher-place":"United States","source":"llr.primo.exlibrisgroup.com","title":"Pan-Cultural Elements in Facial Displays of Emotion","volume":"164","author":[{"family":"Ekman","given":"Paul"},{"family":"Sorenson","given":"E. Richard"},{"family":"Friesen","given":"Wallace V."}],"issued":{"date-parts":[["1969"]]}}},{"id":128,"uris":["http://zotero.org/users/18724519/items/IXM2C8IK"],"itemData":{"id":128,"type":"article-journal","abstract":"The idea of innate and universal facial expressions that have links with human emotions was given the status of scientific hypothesis by\nDarwin (1872/1965)\n. Substantial evidence, old and new, supports his hypothesis. Much of the evidence is independent of language, but\nRussell's (1994)\ncriticisms of the hypothesis focus on language-dependent data. In this article, it is argued that Russell's critique was off target in that his arguments relate only to a hypothesis of the universality of semantic attributions and overstated in that he used questionable logic in designing studies to support his claims. It is also argued that Russell misinterpreted the relation between the universality hypothesis and differential emotions theory. Finally, new evidence is presented that supports the Darwinian hypothesis of the innateness and universality of the facial expressions of a limited set of emotions and the efficacy of the most commonly used method of testing it.","container-title":"Psychological bulletin","DOI":"10.1037/0033-2909.115.2.288","ISSN":"0033-2909","issue":"2","language":"eng","note":"publisher-place: Washington, DC","page":"288–299","publisher":"American Psychological Association","source":"llr.primo.exlibrisgroup.com","title":"Innate and Universal Facial Expressions: Evidence From Developmental and Cross-Cultural Research","title-short":"Innate and Universal Facial Expressions","volume":"115","author":[{"family":"Izard","given":"Carroll E."}],"issued":{"date-parts":[["1994"]]}}},{"id":204,"uris":["http://zotero.org/users/18724519/items/S335NRXR"],"itemData":{"id":204,"type":"book","publisher":"Springer publishing company","source":"Google Scholar","title":"Affect imagery consciousness: Volume I: The positive affects","title-short":"Affect imagery consciousness","URL":"https://books.google.com/books?hl=en&amp;lr=&amp;id=WIpgNerqaIkC&amp;oi=fnd&amp;pg=PR13&amp;dq=Tomkins+SS+(1962)+Affect,+Imagery,+and+Consciousness+(Springer,+New+York).&amp;ots=iEpeoOXE2o&amp;sig=02gd7_pvrHxBzvQNQ2fy1GIzzoA","author":[{"family":"Tomkins","given":"Silvan"}],"accessed":{"date-parts":[["2026",1,15]]},"issued":{"date-parts":[["1962"]]}}}],"schema":"https://github.com/citation-style-language/schema/raw/master/csl-citation.json"} </w:instrText>
      </w:r>
      <w:r w:rsidR="004F49BC" w:rsidRPr="00FA0A69">
        <w:rPr>
          <w:rFonts w:eastAsia="Calibri" w:cs="Calibri"/>
          <w:color w:val="000000" w:themeColor="text1"/>
        </w:rPr>
        <w:fldChar w:fldCharType="separate"/>
      </w:r>
      <w:r w:rsidR="004F49BC">
        <w:rPr>
          <w:rFonts w:eastAsia="Calibri" w:cs="Calibri"/>
          <w:noProof/>
          <w:color w:val="000000" w:themeColor="text1"/>
        </w:rPr>
        <w:t>(Darwin, 1872; Ekman et al., 1969; Izard, 1994; Tomkins, 1962)</w:t>
      </w:r>
      <w:r w:rsidR="004F49BC" w:rsidRPr="00FA0A69">
        <w:rPr>
          <w:rFonts w:eastAsia="Calibri" w:cs="Calibri"/>
          <w:color w:val="000000" w:themeColor="text1"/>
        </w:rPr>
        <w:fldChar w:fldCharType="end"/>
      </w:r>
      <w:r w:rsidR="004F49BC">
        <w:rPr>
          <w:rFonts w:eastAsia="Calibri" w:cs="Calibri"/>
          <w:color w:val="000000" w:themeColor="text1"/>
        </w:rPr>
        <w:t xml:space="preserve"> and instead may be plastic and adaptable to our social environment and experiences.</w:t>
      </w:r>
      <w:r w:rsidR="00BD7671">
        <w:rPr>
          <w:rFonts w:eastAsia="Calibri" w:cs="Calibri"/>
          <w:color w:val="000000" w:themeColor="text1"/>
        </w:rPr>
        <w:t xml:space="preserve"> If production of signals is variable between individuals, then flexible processing of these signals may be advantageous to better navigate social interactions.  It has been suggested that signal repertoires might be larger in species that have fission-fusion dynamics due to the complexity of their social environment </w:t>
      </w:r>
      <w:r w:rsidR="00BD7671">
        <w:rPr>
          <w:rFonts w:eastAsia="Calibri" w:cs="Calibri"/>
          <w:color w:val="000000" w:themeColor="text1"/>
        </w:rPr>
        <w:fldChar w:fldCharType="begin"/>
      </w:r>
      <w:r w:rsidR="00BD7671">
        <w:rPr>
          <w:rFonts w:eastAsia="Calibri" w:cs="Calibri"/>
          <w:color w:val="000000" w:themeColor="text1"/>
        </w:rPr>
        <w:instrText xml:space="preserve"> ADDIN ZOTERO_ITEM CSL_CITATION {"citationID":"4aDOyCGi","properties":{"formattedCitation":"(Aureli et al., 2008)","plainCitation":"(Aureli et al., 2008)","noteIndex":0},"citationItems":[{"id":118,"uris":["http://zotero.org/users/18724519/items/77E4PYFQ"],"itemData":{"id":118,"type":"article-journal","abstract":"Renewed interest in 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dynamics is due to the recognition that such dynamics may create unique challenges for social interaction and distinctive selective pressures acting on underlying communicative and cognitive abilities. New frameworks for integrating current knowledge on 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dynamics emerge from a fundamental rethinking of the term “fission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away from its current general use as a label for a particular modal type of social system (i.e., “fission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societies”). Specifically, because the degree of spatial and temporal cohesion of group members varies both within and across taxa, any social system can be described in terms of the extent to which it expresses 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dynamics. This perspective has implications for socioecology, communication, cognitive demands, and human social evolution.","container-title":"Current anthropology","DOI":"10.1086/586708","ISSN":"0011-3204","issue":"4","language":"eng","page":"627–654","publisher":"The University of Chicago Press","source":"llr.primo.exlibrisgroup.com","title":"Fission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Dynamics: New Research Frameworks","title-short":"Fission</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Fusion Dynamics","volume":"49","author":[{"family":"Aureli","given":"Filippo"},{"family":"Schaffner","given":"Colleen M."},{"family":"Boesch","given":"Christophe"},{"family":"Bearder","given":"Simon K."},{"family":"Call","given":"Josep"},{"family":"Chapman","given":"Colin A."},{"family":"Connor","given":"Richard"},{"family":"Fiore","given":"Anthony Di"},{"family":"Dunbar","given":"Robin I. M."},{"family":"Henzi","given":"S. Peter"},{"family":"Holekamp","given":"Kay"},{"family":"Korstjens","given":"Amanda H."},{"family":"Layton","given":"Robert"},{"family":"Lee","given":"Phyllis"},{"family":"Lehmann","given":"Julia"},{"family":"Manson","given":"Joseph H."},{"family":"Ramos</w:instrText>
      </w:r>
      <w:r w:rsidR="00BD7671">
        <w:rPr>
          <w:rFonts w:ascii="Cambria Math" w:eastAsia="Calibri" w:hAnsi="Cambria Math" w:cs="Cambria Math"/>
          <w:color w:val="000000" w:themeColor="text1"/>
        </w:rPr>
        <w:instrText>‐</w:instrText>
      </w:r>
      <w:r w:rsidR="00BD7671">
        <w:rPr>
          <w:rFonts w:eastAsia="Calibri" w:cs="Calibri"/>
          <w:color w:val="000000" w:themeColor="text1"/>
        </w:rPr>
        <w:instrText xml:space="preserve">Fernandez","given":"Gabriel"},{"family":"Strier","given":"Karen B."},{"family":"Schaik","given":"Carel P.","dropping-particle":"van"}],"issued":{"date-parts":[["2008"]]}}}],"schema":"https://github.com/citation-style-language/schema/raw/master/csl-citation.json"} </w:instrText>
      </w:r>
      <w:r w:rsidR="00BD7671">
        <w:rPr>
          <w:rFonts w:eastAsia="Calibri" w:cs="Calibri"/>
          <w:color w:val="000000" w:themeColor="text1"/>
        </w:rPr>
        <w:fldChar w:fldCharType="separate"/>
      </w:r>
      <w:r w:rsidR="00BD7671">
        <w:rPr>
          <w:rFonts w:eastAsia="Calibri" w:cs="Calibri"/>
          <w:noProof/>
          <w:color w:val="000000" w:themeColor="text1"/>
        </w:rPr>
        <w:t>(Aureli et al., 2008)</w:t>
      </w:r>
      <w:r w:rsidR="00BD7671">
        <w:rPr>
          <w:rFonts w:eastAsia="Calibri" w:cs="Calibri"/>
          <w:color w:val="000000" w:themeColor="text1"/>
        </w:rPr>
        <w:fldChar w:fldCharType="end"/>
      </w:r>
      <w:r w:rsidR="00BD7671">
        <w:rPr>
          <w:rFonts w:eastAsia="Calibri" w:cs="Calibri"/>
          <w:color w:val="000000" w:themeColor="text1"/>
        </w:rPr>
        <w:t xml:space="preserve">. Being able to process subtle differences in facial signals and attend to these accordingly could be beneficial for individuals in complex social environments to evaluate and maintain their relationships. Adapting your processing of facial signals depending on who you are currently surrounded by might be especially useful for species with fission-fusion dynamics and could benefit individuals migrating between social groups both in captivity, and in the wild, as accurate facial expression processing is essential for successfully navigating a social world </w:t>
      </w:r>
      <w:r w:rsidR="00BD7671">
        <w:rPr>
          <w:rFonts w:eastAsia="Calibri" w:cs="Calibri"/>
          <w:color w:val="000000" w:themeColor="text1"/>
        </w:rPr>
        <w:fldChar w:fldCharType="begin"/>
      </w:r>
      <w:r w:rsidR="00BD7671">
        <w:rPr>
          <w:rFonts w:eastAsia="Calibri" w:cs="Calibri"/>
          <w:color w:val="000000" w:themeColor="text1"/>
        </w:rPr>
        <w:instrText xml:space="preserve"> ADDIN ZOTERO_ITEM CSL_CITATION {"citationID":"Rg6NUXSZ","properties":{"formattedCitation":"(Waller et al., 2025)","plainCitation":"(Waller et al., 2025)","noteIndex":0},"citationItems":[{"id":249,"uris":["http://zotero.org/users/18724519/items/LCG8GPX7"],"itemData":{"id":249,"type":"article-journal","abstract":"Facial expressions are ubiquitous among primates and many clear similarities across species suggest a shared evolutionary history for these behaviours. Investigations of non-human primate facial expressions are therefore vital to enable us to understand the form and function of human facial behaviour. Methodological developments over the past two decades enable fine-grained quantitative comparisons across species and have demonstrated that similar processes underpin facial expressions in non-human and human primates. However, there is a tendency to focus on facial expression as a repertoire of discrete, prototypical expressions that does not always reflect naturalistic behaviour. In this Review, we review the production and perception of non-human primate facial expressions, focusing on methodological approaches and how to address the challenges of studying dynamic facial expressions. Moving forwards, methods that enable the study of dynamic and variable communicative exchange within social interaction might provide a better understanding of how facial expressions function and what (if anything) about facial expression is unique to humans.","ISSN":"2731-0574","language":"eng","publisher":"Nature Publishing Group","source":"llr.primo.exlibrisgroup.com","title":"Facial expression production and perception in non-human primates","author":[{"family":"Waller","given":"B. M."},{"family":"O'Callaghan","given":"O."},{"family":"Micheletta","given":"J."},{"family":"Whitehouse","given":"J."}],"issued":{"date-parts":[["2025"]]}}}],"schema":"https://github.com/citation-style-language/schema/raw/master/csl-citation.json"} </w:instrText>
      </w:r>
      <w:r w:rsidR="00BD7671">
        <w:rPr>
          <w:rFonts w:eastAsia="Calibri" w:cs="Calibri"/>
          <w:color w:val="000000" w:themeColor="text1"/>
        </w:rPr>
        <w:fldChar w:fldCharType="separate"/>
      </w:r>
      <w:r w:rsidR="00BD7671">
        <w:rPr>
          <w:rFonts w:eastAsia="Calibri" w:cs="Calibri"/>
          <w:noProof/>
          <w:color w:val="000000" w:themeColor="text1"/>
        </w:rPr>
        <w:t>(Waller et al., 2025)</w:t>
      </w:r>
      <w:r w:rsidR="00BD7671">
        <w:rPr>
          <w:rFonts w:eastAsia="Calibri" w:cs="Calibri"/>
          <w:color w:val="000000" w:themeColor="text1"/>
        </w:rPr>
        <w:fldChar w:fldCharType="end"/>
      </w:r>
      <w:r w:rsidR="00BD7671">
        <w:rPr>
          <w:rFonts w:eastAsia="Calibri" w:cs="Calibri"/>
          <w:color w:val="000000" w:themeColor="text1"/>
        </w:rPr>
        <w:t>.</w:t>
      </w:r>
    </w:p>
    <w:p w14:paraId="3986124F" w14:textId="77777777" w:rsidR="0055110F" w:rsidRDefault="0055110F" w:rsidP="0055110F"/>
    <w:p w14:paraId="336156C4" w14:textId="4FC5C1B9" w:rsidR="00FA3B4F" w:rsidRDefault="00C949F8" w:rsidP="00C949F8">
      <w:pPr>
        <w:pStyle w:val="Heading2"/>
      </w:pPr>
      <w:r>
        <w:t>Budget breakdown</w:t>
      </w:r>
    </w:p>
    <w:tbl>
      <w:tblPr>
        <w:tblStyle w:val="GridTable4-Accent1"/>
        <w:tblW w:w="0" w:type="auto"/>
        <w:tblLook w:val="04A0" w:firstRow="1" w:lastRow="0" w:firstColumn="1" w:lastColumn="0" w:noHBand="0" w:noVBand="1"/>
      </w:tblPr>
      <w:tblGrid>
        <w:gridCol w:w="4508"/>
        <w:gridCol w:w="4508"/>
      </w:tblGrid>
      <w:tr w:rsidR="00FE692A" w14:paraId="2BBBEE0E" w14:textId="77777777" w:rsidTr="4A52C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CA56C5" w14:textId="06AC5C95" w:rsidR="00FE692A" w:rsidRDefault="009325E3" w:rsidP="00C949F8">
            <w:r>
              <w:t>Item</w:t>
            </w:r>
          </w:p>
        </w:tc>
        <w:tc>
          <w:tcPr>
            <w:tcW w:w="4508" w:type="dxa"/>
          </w:tcPr>
          <w:p w14:paraId="056FC3EC" w14:textId="200ABA9E" w:rsidR="00FE692A" w:rsidRDefault="009325E3" w:rsidP="00C949F8">
            <w:pPr>
              <w:cnfStyle w:val="100000000000" w:firstRow="1" w:lastRow="0" w:firstColumn="0" w:lastColumn="0" w:oddVBand="0" w:evenVBand="0" w:oddHBand="0" w:evenHBand="0" w:firstRowFirstColumn="0" w:firstRowLastColumn="0" w:lastRowFirstColumn="0" w:lastRowLastColumn="0"/>
            </w:pPr>
            <w:r>
              <w:t>PSGB Research Grant</w:t>
            </w:r>
          </w:p>
        </w:tc>
      </w:tr>
      <w:tr w:rsidR="00FE692A" w14:paraId="6C056478" w14:textId="77777777" w:rsidTr="4A52C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A86733" w14:textId="6AAC9096" w:rsidR="00FE692A" w:rsidRDefault="00DD2936" w:rsidP="00C949F8">
            <w:r>
              <w:t>Tripod</w:t>
            </w:r>
          </w:p>
        </w:tc>
        <w:tc>
          <w:tcPr>
            <w:tcW w:w="4508" w:type="dxa"/>
          </w:tcPr>
          <w:p w14:paraId="4E8C00BE" w14:textId="77617776" w:rsidR="00FE692A" w:rsidRDefault="00DD2936" w:rsidP="00C949F8">
            <w:pPr>
              <w:cnfStyle w:val="000000100000" w:firstRow="0" w:lastRow="0" w:firstColumn="0" w:lastColumn="0" w:oddVBand="0" w:evenVBand="0" w:oddHBand="1" w:evenHBand="0" w:firstRowFirstColumn="0" w:firstRowLastColumn="0" w:lastRowFirstColumn="0" w:lastRowLastColumn="0"/>
            </w:pPr>
            <w:r>
              <w:t>£40</w:t>
            </w:r>
          </w:p>
        </w:tc>
      </w:tr>
      <w:tr w:rsidR="00FE692A" w14:paraId="4A3C0170" w14:textId="77777777" w:rsidTr="4A52C2FB">
        <w:tc>
          <w:tcPr>
            <w:cnfStyle w:val="001000000000" w:firstRow="0" w:lastRow="0" w:firstColumn="1" w:lastColumn="0" w:oddVBand="0" w:evenVBand="0" w:oddHBand="0" w:evenHBand="0" w:firstRowFirstColumn="0" w:firstRowLastColumn="0" w:lastRowFirstColumn="0" w:lastRowLastColumn="0"/>
            <w:tcW w:w="4508" w:type="dxa"/>
          </w:tcPr>
          <w:p w14:paraId="25EC3B91" w14:textId="6F0DC389" w:rsidR="00FE692A" w:rsidRDefault="00DD2936" w:rsidP="00C949F8">
            <w:r>
              <w:t>External hard drive (1TB)</w:t>
            </w:r>
          </w:p>
        </w:tc>
        <w:tc>
          <w:tcPr>
            <w:tcW w:w="4508" w:type="dxa"/>
          </w:tcPr>
          <w:p w14:paraId="72B5F9C5" w14:textId="76EE8D90" w:rsidR="00FE692A" w:rsidRDefault="00DD2936" w:rsidP="00C949F8">
            <w:pPr>
              <w:cnfStyle w:val="000000000000" w:firstRow="0" w:lastRow="0" w:firstColumn="0" w:lastColumn="0" w:oddVBand="0" w:evenVBand="0" w:oddHBand="0" w:evenHBand="0" w:firstRowFirstColumn="0" w:firstRowLastColumn="0" w:lastRowFirstColumn="0" w:lastRowLastColumn="0"/>
            </w:pPr>
            <w:r>
              <w:t>£50</w:t>
            </w:r>
          </w:p>
        </w:tc>
      </w:tr>
      <w:tr w:rsidR="00FE692A" w14:paraId="3729EBA5" w14:textId="77777777" w:rsidTr="4A52C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0FFDBA" w14:textId="1F403AF7" w:rsidR="00FE692A" w:rsidRDefault="004237FE" w:rsidP="00C949F8">
            <w:r>
              <w:t>Mileage (Nottingham – Twycross Zoo)</w:t>
            </w:r>
          </w:p>
        </w:tc>
        <w:tc>
          <w:tcPr>
            <w:tcW w:w="4508" w:type="dxa"/>
          </w:tcPr>
          <w:p w14:paraId="2F85B2D2" w14:textId="64AA0B25" w:rsidR="00FE692A" w:rsidRDefault="00A1738F" w:rsidP="00C949F8">
            <w:pPr>
              <w:cnfStyle w:val="000000100000" w:firstRow="0" w:lastRow="0" w:firstColumn="0" w:lastColumn="0" w:oddVBand="0" w:evenVBand="0" w:oddHBand="1" w:evenHBand="0" w:firstRowFirstColumn="0" w:firstRowLastColumn="0" w:lastRowFirstColumn="0" w:lastRowLastColumn="0"/>
            </w:pPr>
            <w:r>
              <w:t>£1,160</w:t>
            </w:r>
            <w:r w:rsidR="001667D0">
              <w:t xml:space="preserve"> </w:t>
            </w:r>
          </w:p>
        </w:tc>
      </w:tr>
    </w:tbl>
    <w:p w14:paraId="258AD730" w14:textId="35B6C419" w:rsidR="00D97EEB" w:rsidRDefault="00842E5C" w:rsidP="4A52C2FB">
      <w:pPr>
        <w:pStyle w:val="Heading2"/>
      </w:pPr>
      <w:r>
        <w:t>References</w:t>
      </w:r>
    </w:p>
    <w:p w14:paraId="66501A15" w14:textId="77777777" w:rsidR="00842E5C" w:rsidRPr="00842E5C" w:rsidRDefault="00842E5C" w:rsidP="00842E5C">
      <w:pPr>
        <w:pStyle w:val="Bibliography"/>
        <w:rPr>
          <w:rFonts w:ascii="Aptos"/>
        </w:rPr>
      </w:pPr>
      <w:r>
        <w:fldChar w:fldCharType="begin"/>
      </w:r>
      <w:r>
        <w:instrText xml:space="preserve"> ADDIN ZOTERO_BIBL {"uncited":[],"omitted":[],"custom":[]} CSL_BIBLIOGRAPHY </w:instrText>
      </w:r>
      <w:r>
        <w:fldChar w:fldCharType="separate"/>
      </w:r>
      <w:r w:rsidRPr="00842E5C">
        <w:rPr>
          <w:rFonts w:ascii="Aptos"/>
        </w:rPr>
        <w:t xml:space="preserve">Altmann, J. (1974). Observational Study of Behavior: Sampling Methods. </w:t>
      </w:r>
      <w:r w:rsidRPr="00842E5C">
        <w:rPr>
          <w:rFonts w:ascii="Aptos"/>
          <w:i/>
          <w:iCs/>
        </w:rPr>
        <w:t>Behaviour</w:t>
      </w:r>
      <w:r w:rsidRPr="00842E5C">
        <w:rPr>
          <w:rFonts w:ascii="Aptos"/>
        </w:rPr>
        <w:t xml:space="preserve">, </w:t>
      </w:r>
      <w:r w:rsidRPr="00842E5C">
        <w:rPr>
          <w:rFonts w:ascii="Aptos"/>
          <w:i/>
          <w:iCs/>
        </w:rPr>
        <w:t>49</w:t>
      </w:r>
      <w:r w:rsidRPr="00842E5C">
        <w:rPr>
          <w:rFonts w:ascii="Aptos"/>
        </w:rPr>
        <w:t>(3–4), 227–266. https://doi.org/10.1163/156853974X00534</w:t>
      </w:r>
    </w:p>
    <w:p w14:paraId="2A05778A" w14:textId="77777777" w:rsidR="00842E5C" w:rsidRPr="00842E5C" w:rsidRDefault="00842E5C" w:rsidP="00842E5C">
      <w:pPr>
        <w:pStyle w:val="Bibliography"/>
        <w:rPr>
          <w:rFonts w:ascii="Aptos"/>
        </w:rPr>
      </w:pPr>
      <w:r w:rsidRPr="00842E5C">
        <w:rPr>
          <w:rFonts w:ascii="Aptos"/>
        </w:rPr>
        <w:t>Aureli, F., Schaffner, C. M., Boesch, C., Bearder, S. K., Call, J., Chapman, C. A., Connor, R., Fiore, A. D., Dunbar, R. I. M., Henzi, S. P., Holekamp, K., Korstjens, A. H., Layton, R., Lee, P., Lehmann, J., Manson, J. H., Ramos</w:t>
      </w:r>
      <w:r w:rsidRPr="00842E5C">
        <w:rPr>
          <w:rFonts w:ascii="Aptos" w:cs="Cambria Math"/>
        </w:rPr>
        <w:t>‐</w:t>
      </w:r>
      <w:r w:rsidRPr="00842E5C">
        <w:rPr>
          <w:rFonts w:ascii="Aptos"/>
        </w:rPr>
        <w:t>Fernandez, G., Strier, K. B., &amp; Schaik, C. P. van. (2008). Fission</w:t>
      </w:r>
      <w:r w:rsidRPr="00842E5C">
        <w:rPr>
          <w:rFonts w:ascii="Aptos" w:cs="Cambria Math"/>
        </w:rPr>
        <w:t>‐</w:t>
      </w:r>
      <w:r w:rsidRPr="00842E5C">
        <w:rPr>
          <w:rFonts w:ascii="Aptos"/>
        </w:rPr>
        <w:t xml:space="preserve">Fusion Dynamics: New Research Frameworks. </w:t>
      </w:r>
      <w:r w:rsidRPr="00842E5C">
        <w:rPr>
          <w:rFonts w:ascii="Aptos"/>
          <w:i/>
          <w:iCs/>
        </w:rPr>
        <w:t>Current Anthropology</w:t>
      </w:r>
      <w:r w:rsidRPr="00842E5C">
        <w:rPr>
          <w:rFonts w:ascii="Aptos"/>
        </w:rPr>
        <w:t xml:space="preserve">, </w:t>
      </w:r>
      <w:r w:rsidRPr="00842E5C">
        <w:rPr>
          <w:rFonts w:ascii="Aptos"/>
          <w:i/>
          <w:iCs/>
        </w:rPr>
        <w:t>49</w:t>
      </w:r>
      <w:r w:rsidRPr="00842E5C">
        <w:rPr>
          <w:rFonts w:ascii="Aptos"/>
        </w:rPr>
        <w:t>(4), 627–654. https://doi.org/10.1086/586708</w:t>
      </w:r>
    </w:p>
    <w:p w14:paraId="2EC7AFCB" w14:textId="77777777" w:rsidR="00842E5C" w:rsidRPr="00842E5C" w:rsidRDefault="00842E5C" w:rsidP="00842E5C">
      <w:pPr>
        <w:pStyle w:val="Bibliography"/>
        <w:rPr>
          <w:rFonts w:ascii="Aptos"/>
        </w:rPr>
      </w:pPr>
      <w:r w:rsidRPr="00842E5C">
        <w:rPr>
          <w:rFonts w:ascii="Aptos"/>
        </w:rPr>
        <w:lastRenderedPageBreak/>
        <w:t xml:space="preserve">Badrian, A., &amp; Badrian, N. (1984). Social Organization of Pan paniscus in the Lomako Forest, Zaire. In </w:t>
      </w:r>
      <w:r w:rsidRPr="00842E5C">
        <w:rPr>
          <w:rFonts w:ascii="Aptos"/>
          <w:i/>
          <w:iCs/>
        </w:rPr>
        <w:t>The Pygmy Chimpanzee</w:t>
      </w:r>
      <w:r w:rsidRPr="00842E5C">
        <w:rPr>
          <w:rFonts w:ascii="Aptos"/>
        </w:rPr>
        <w:t xml:space="preserve"> (pp. 325–346). Springer US. https://doi.org/10.1007/978-1-4757-0082-4_13</w:t>
      </w:r>
    </w:p>
    <w:p w14:paraId="3DAFBD3D" w14:textId="77777777" w:rsidR="00842E5C" w:rsidRPr="00842E5C" w:rsidRDefault="00842E5C" w:rsidP="00842E5C">
      <w:pPr>
        <w:pStyle w:val="Bibliography"/>
        <w:rPr>
          <w:rFonts w:ascii="Aptos"/>
        </w:rPr>
      </w:pPr>
      <w:r w:rsidRPr="00842E5C">
        <w:rPr>
          <w:rFonts w:ascii="Aptos"/>
        </w:rPr>
        <w:t xml:space="preserve">Blender Development Team. (2024). </w:t>
      </w:r>
      <w:r w:rsidRPr="00842E5C">
        <w:rPr>
          <w:rFonts w:ascii="Aptos"/>
          <w:i/>
          <w:iCs/>
        </w:rPr>
        <w:t>Blender</w:t>
      </w:r>
      <w:r w:rsidRPr="00842E5C">
        <w:rPr>
          <w:rFonts w:ascii="Aptos"/>
        </w:rPr>
        <w:t xml:space="preserve"> (Version 4.1) [Computer software]. https://www.blender.org</w:t>
      </w:r>
    </w:p>
    <w:p w14:paraId="19FB935F" w14:textId="77777777" w:rsidR="00842E5C" w:rsidRPr="00842E5C" w:rsidRDefault="00842E5C" w:rsidP="00842E5C">
      <w:pPr>
        <w:pStyle w:val="Bibliography"/>
        <w:rPr>
          <w:rFonts w:ascii="Aptos"/>
        </w:rPr>
      </w:pPr>
      <w:r w:rsidRPr="00842E5C">
        <w:rPr>
          <w:rFonts w:ascii="Aptos"/>
        </w:rPr>
        <w:t xml:space="preserve">Caillaud, D. (2017). </w:t>
      </w:r>
      <w:r w:rsidRPr="00842E5C">
        <w:rPr>
          <w:rFonts w:ascii="Aptos"/>
          <w:i/>
          <w:iCs/>
        </w:rPr>
        <w:t>Animal Observer</w:t>
      </w:r>
      <w:r w:rsidRPr="00842E5C">
        <w:rPr>
          <w:rFonts w:ascii="Aptos"/>
        </w:rPr>
        <w:t xml:space="preserve"> (Version 1.2.2) [iOS]. Dian Fossey Gorilla Fund. https://fosseyfund.github.io/AOToolBox/index.html</w:t>
      </w:r>
    </w:p>
    <w:p w14:paraId="63515E8E" w14:textId="77777777" w:rsidR="00842E5C" w:rsidRPr="00292026" w:rsidRDefault="00842E5C" w:rsidP="00842E5C">
      <w:pPr>
        <w:pStyle w:val="Bibliography"/>
        <w:rPr>
          <w:rFonts w:ascii="Aptos"/>
          <w:lang w:val="fr-FR"/>
        </w:rPr>
      </w:pPr>
      <w:r w:rsidRPr="00842E5C">
        <w:rPr>
          <w:rFonts w:ascii="Aptos"/>
        </w:rPr>
        <w:t xml:space="preserve">Caldara, R. (2017). Culture Reveals a Flexible System for Face Processing. </w:t>
      </w:r>
      <w:r w:rsidRPr="00292026">
        <w:rPr>
          <w:rFonts w:ascii="Aptos"/>
          <w:i/>
          <w:iCs/>
          <w:lang w:val="fr-FR"/>
        </w:rPr>
        <w:t>Current Directions in Psychological Science</w:t>
      </w:r>
      <w:r w:rsidRPr="00292026">
        <w:rPr>
          <w:rFonts w:ascii="Aptos"/>
          <w:lang w:val="fr-FR"/>
        </w:rPr>
        <w:t xml:space="preserve">, </w:t>
      </w:r>
      <w:r w:rsidRPr="00292026">
        <w:rPr>
          <w:rFonts w:ascii="Aptos"/>
          <w:i/>
          <w:iCs/>
          <w:lang w:val="fr-FR"/>
        </w:rPr>
        <w:t>26</w:t>
      </w:r>
      <w:r w:rsidRPr="00292026">
        <w:rPr>
          <w:rFonts w:ascii="Aptos"/>
          <w:lang w:val="fr-FR"/>
        </w:rPr>
        <w:t>(3), 249–255. https://doi.org/10.1177/0963721417710036</w:t>
      </w:r>
    </w:p>
    <w:p w14:paraId="43A54C85" w14:textId="77777777" w:rsidR="00842E5C" w:rsidRPr="00842E5C" w:rsidRDefault="00842E5C" w:rsidP="00842E5C">
      <w:pPr>
        <w:pStyle w:val="Bibliography"/>
        <w:rPr>
          <w:rFonts w:ascii="Aptos"/>
        </w:rPr>
      </w:pPr>
      <w:r w:rsidRPr="00292026">
        <w:rPr>
          <w:rFonts w:ascii="Aptos"/>
          <w:lang w:val="fr-FR"/>
        </w:rPr>
        <w:t xml:space="preserve">Camras, L. A., Chen, Y., Bakeman, R., Norris, K., &amp; Cain, T. R. (2006). </w:t>
      </w:r>
      <w:r w:rsidRPr="00842E5C">
        <w:rPr>
          <w:rFonts w:ascii="Aptos"/>
        </w:rPr>
        <w:t xml:space="preserve">Culture, Ethnicity, and Children’s Facial Expressions: A Study of European American, Mainland Chinese, Chinese American, and Adopted Chinese Girls. </w:t>
      </w:r>
      <w:r w:rsidRPr="00842E5C">
        <w:rPr>
          <w:rFonts w:ascii="Aptos"/>
          <w:i/>
          <w:iCs/>
        </w:rPr>
        <w:t>Emotion</w:t>
      </w:r>
      <w:r w:rsidRPr="00842E5C">
        <w:rPr>
          <w:rFonts w:ascii="Aptos"/>
        </w:rPr>
        <w:t xml:space="preserve">, </w:t>
      </w:r>
      <w:r w:rsidRPr="00842E5C">
        <w:rPr>
          <w:rFonts w:ascii="Aptos"/>
          <w:i/>
          <w:iCs/>
        </w:rPr>
        <w:t>6</w:t>
      </w:r>
      <w:r w:rsidRPr="00842E5C">
        <w:rPr>
          <w:rFonts w:ascii="Aptos"/>
        </w:rPr>
        <w:t>(1), 103–114. https://doi.org/10.1037/1528-3542.6.1.103</w:t>
      </w:r>
    </w:p>
    <w:p w14:paraId="3775697A" w14:textId="77777777" w:rsidR="00842E5C" w:rsidRPr="00292026" w:rsidRDefault="00842E5C" w:rsidP="00842E5C">
      <w:pPr>
        <w:pStyle w:val="Bibliography"/>
        <w:rPr>
          <w:rFonts w:ascii="Aptos"/>
          <w:lang w:val="it-IT"/>
        </w:rPr>
      </w:pPr>
      <w:r w:rsidRPr="00842E5C">
        <w:rPr>
          <w:rFonts w:ascii="Aptos"/>
        </w:rPr>
        <w:t xml:space="preserve">Correia-Caeiro, C., Kuchenbuch, P. H., Oña, L. S., Wegdell, F., Leroux, M., Schuele, A., Taglialatela, J., Townsend, S., Surbeck, M., Waller, B. M., &amp; Liebal, K. (2025). Adapting the facial action coding system for chimpanzees ( Pan troglodytes ) to bonobos ( Pan paniscus ): The ChimpFACS extension for bonobos. </w:t>
      </w:r>
      <w:r w:rsidRPr="00292026">
        <w:rPr>
          <w:rFonts w:ascii="Aptos"/>
          <w:i/>
          <w:iCs/>
          <w:lang w:val="it-IT"/>
        </w:rPr>
        <w:t>PeerJ (San Francisco, CA)</w:t>
      </w:r>
      <w:r w:rsidRPr="00292026">
        <w:rPr>
          <w:rFonts w:ascii="Aptos"/>
          <w:lang w:val="it-IT"/>
        </w:rPr>
        <w:t xml:space="preserve">, </w:t>
      </w:r>
      <w:r w:rsidRPr="00292026">
        <w:rPr>
          <w:rFonts w:ascii="Aptos"/>
          <w:i/>
          <w:iCs/>
          <w:lang w:val="it-IT"/>
        </w:rPr>
        <w:t>13</w:t>
      </w:r>
      <w:r w:rsidRPr="00292026">
        <w:rPr>
          <w:rFonts w:ascii="Aptos"/>
          <w:lang w:val="it-IT"/>
        </w:rPr>
        <w:t>, e19484-. https://doi.org/10.7717/peerj.19484</w:t>
      </w:r>
    </w:p>
    <w:p w14:paraId="2E5C3B06" w14:textId="77777777" w:rsidR="00842E5C" w:rsidRPr="00842E5C" w:rsidRDefault="00842E5C" w:rsidP="00842E5C">
      <w:pPr>
        <w:pStyle w:val="Bibliography"/>
        <w:rPr>
          <w:rFonts w:ascii="Aptos"/>
        </w:rPr>
      </w:pPr>
      <w:r w:rsidRPr="00292026">
        <w:rPr>
          <w:rFonts w:ascii="Aptos"/>
          <w:lang w:val="it-IT"/>
        </w:rPr>
        <w:t xml:space="preserve">Crockford, C., Herbinger, I., Vigilant, L., &amp; Boesch, C. (2004). </w:t>
      </w:r>
      <w:r w:rsidRPr="00842E5C">
        <w:rPr>
          <w:rFonts w:ascii="Aptos"/>
        </w:rPr>
        <w:t xml:space="preserve">Wild Chimpanzees Produce Group-Specific Calls: A Case for Vocal Learning? </w:t>
      </w:r>
      <w:r w:rsidRPr="00842E5C">
        <w:rPr>
          <w:rFonts w:ascii="Aptos"/>
          <w:i/>
          <w:iCs/>
        </w:rPr>
        <w:t>Ethology</w:t>
      </w:r>
      <w:r w:rsidRPr="00842E5C">
        <w:rPr>
          <w:rFonts w:ascii="Aptos"/>
        </w:rPr>
        <w:t xml:space="preserve">, </w:t>
      </w:r>
      <w:r w:rsidRPr="00842E5C">
        <w:rPr>
          <w:rFonts w:ascii="Aptos"/>
          <w:i/>
          <w:iCs/>
        </w:rPr>
        <w:t>110</w:t>
      </w:r>
      <w:r w:rsidRPr="00842E5C">
        <w:rPr>
          <w:rFonts w:ascii="Aptos"/>
        </w:rPr>
        <w:t>(3), 221–243. https://doi.org/10.1111/j.1439-0310.2004.00968.x</w:t>
      </w:r>
    </w:p>
    <w:p w14:paraId="23511685" w14:textId="77777777" w:rsidR="00842E5C" w:rsidRPr="00842E5C" w:rsidRDefault="00842E5C" w:rsidP="00842E5C">
      <w:pPr>
        <w:pStyle w:val="Bibliography"/>
        <w:rPr>
          <w:rFonts w:ascii="Aptos"/>
        </w:rPr>
      </w:pPr>
      <w:r w:rsidRPr="00842E5C">
        <w:rPr>
          <w:rFonts w:ascii="Aptos"/>
        </w:rPr>
        <w:t xml:space="preserve">Darwin, C. (1872). </w:t>
      </w:r>
      <w:r w:rsidRPr="00842E5C">
        <w:rPr>
          <w:rFonts w:ascii="Aptos"/>
          <w:i/>
          <w:iCs/>
        </w:rPr>
        <w:t>The Expression of the Emotions in Man and Animals</w:t>
      </w:r>
      <w:r w:rsidRPr="00842E5C">
        <w:rPr>
          <w:rFonts w:ascii="Aptos"/>
        </w:rPr>
        <w:t>. Cambridge University Press. https://doi.org/10.1017/CBO9781139833813</w:t>
      </w:r>
    </w:p>
    <w:p w14:paraId="78D9AEC6" w14:textId="77777777" w:rsidR="00842E5C" w:rsidRPr="00842E5C" w:rsidRDefault="00842E5C" w:rsidP="00842E5C">
      <w:pPr>
        <w:pStyle w:val="Bibliography"/>
        <w:rPr>
          <w:rFonts w:ascii="Aptos"/>
        </w:rPr>
      </w:pPr>
      <w:r w:rsidRPr="00842E5C">
        <w:rPr>
          <w:rFonts w:ascii="Aptos"/>
        </w:rPr>
        <w:lastRenderedPageBreak/>
        <w:t xml:space="preserve">De Waal, F. B. (1988). The Communicative Repertoire of Captive Bonobos (Pan Paniscus), Compared To That of Chimpanzees. </w:t>
      </w:r>
      <w:r w:rsidRPr="00842E5C">
        <w:rPr>
          <w:rFonts w:ascii="Aptos"/>
          <w:i/>
          <w:iCs/>
        </w:rPr>
        <w:t>Behaviour</w:t>
      </w:r>
      <w:r w:rsidRPr="00842E5C">
        <w:rPr>
          <w:rFonts w:ascii="Aptos"/>
        </w:rPr>
        <w:t xml:space="preserve">, </w:t>
      </w:r>
      <w:r w:rsidRPr="00842E5C">
        <w:rPr>
          <w:rFonts w:ascii="Aptos"/>
          <w:i/>
          <w:iCs/>
        </w:rPr>
        <w:t>106</w:t>
      </w:r>
      <w:r w:rsidRPr="00842E5C">
        <w:rPr>
          <w:rFonts w:ascii="Aptos"/>
        </w:rPr>
        <w:t>(3–4), 183–251. https://doi.org/10.1163/156853988X00269</w:t>
      </w:r>
    </w:p>
    <w:p w14:paraId="5212E68D" w14:textId="77777777" w:rsidR="00842E5C" w:rsidRPr="00842E5C" w:rsidRDefault="00842E5C" w:rsidP="00842E5C">
      <w:pPr>
        <w:pStyle w:val="Bibliography"/>
        <w:rPr>
          <w:rFonts w:ascii="Aptos"/>
        </w:rPr>
      </w:pPr>
      <w:r w:rsidRPr="00842E5C">
        <w:rPr>
          <w:rFonts w:ascii="Aptos"/>
        </w:rPr>
        <w:t xml:space="preserve">Ekman, P., Sorenson, E. R., &amp; Friesen, W. V. (1969). Pan-Cultural Elements in Facial Displays of Emotion. </w:t>
      </w:r>
      <w:r w:rsidRPr="00842E5C">
        <w:rPr>
          <w:rFonts w:ascii="Aptos"/>
          <w:i/>
          <w:iCs/>
        </w:rPr>
        <w:t>Science</w:t>
      </w:r>
      <w:r w:rsidRPr="00842E5C">
        <w:rPr>
          <w:rFonts w:ascii="Aptos"/>
        </w:rPr>
        <w:t xml:space="preserve">, </w:t>
      </w:r>
      <w:r w:rsidRPr="00842E5C">
        <w:rPr>
          <w:rFonts w:ascii="Aptos"/>
          <w:i/>
          <w:iCs/>
        </w:rPr>
        <w:t>164</w:t>
      </w:r>
      <w:r w:rsidRPr="00842E5C">
        <w:rPr>
          <w:rFonts w:ascii="Aptos"/>
        </w:rPr>
        <w:t>(3875), 86–88. https://doi.org/10.1126/science.164.3875.86</w:t>
      </w:r>
    </w:p>
    <w:p w14:paraId="3A239C8B" w14:textId="77777777" w:rsidR="00842E5C" w:rsidRPr="00842E5C" w:rsidRDefault="00842E5C" w:rsidP="00842E5C">
      <w:pPr>
        <w:pStyle w:val="Bibliography"/>
        <w:rPr>
          <w:rFonts w:ascii="Aptos"/>
        </w:rPr>
      </w:pPr>
      <w:r w:rsidRPr="00842E5C">
        <w:rPr>
          <w:rFonts w:ascii="Aptos"/>
        </w:rPr>
        <w:t>Friard, O., &amp; Gamba, M. (2016). BORIS: A free, versatile open</w:t>
      </w:r>
      <w:r w:rsidRPr="00842E5C">
        <w:rPr>
          <w:rFonts w:ascii="Aptos" w:cs="Cambria Math"/>
        </w:rPr>
        <w:t>‐</w:t>
      </w:r>
      <w:r w:rsidRPr="00842E5C">
        <w:rPr>
          <w:rFonts w:ascii="Aptos"/>
        </w:rPr>
        <w:t>source event</w:t>
      </w:r>
      <w:r w:rsidRPr="00842E5C">
        <w:rPr>
          <w:rFonts w:ascii="Aptos" w:cs="Cambria Math"/>
        </w:rPr>
        <w:t>‐</w:t>
      </w:r>
      <w:r w:rsidRPr="00842E5C">
        <w:rPr>
          <w:rFonts w:ascii="Aptos"/>
        </w:rPr>
        <w:t xml:space="preserve">logging software for video/audio coding and live observations. </w:t>
      </w:r>
      <w:r w:rsidRPr="00842E5C">
        <w:rPr>
          <w:rFonts w:ascii="Aptos"/>
          <w:i/>
          <w:iCs/>
        </w:rPr>
        <w:t>Methods in Ecology and Evolution</w:t>
      </w:r>
      <w:r w:rsidRPr="00842E5C">
        <w:rPr>
          <w:rFonts w:ascii="Aptos"/>
        </w:rPr>
        <w:t xml:space="preserve">, </w:t>
      </w:r>
      <w:r w:rsidRPr="00842E5C">
        <w:rPr>
          <w:rFonts w:ascii="Aptos"/>
          <w:i/>
          <w:iCs/>
        </w:rPr>
        <w:t>7</w:t>
      </w:r>
      <w:r w:rsidRPr="00842E5C">
        <w:rPr>
          <w:rFonts w:ascii="Aptos"/>
        </w:rPr>
        <w:t>(11), 1325–1330. https://doi.org/10.1111/2041-210x.12584</w:t>
      </w:r>
    </w:p>
    <w:p w14:paraId="03395ADD" w14:textId="77777777" w:rsidR="00842E5C" w:rsidRPr="00842E5C" w:rsidRDefault="00842E5C" w:rsidP="00842E5C">
      <w:pPr>
        <w:pStyle w:val="Bibliography"/>
        <w:rPr>
          <w:rFonts w:ascii="Aptos"/>
        </w:rPr>
      </w:pPr>
      <w:r w:rsidRPr="00842E5C">
        <w:rPr>
          <w:rFonts w:ascii="Aptos"/>
        </w:rPr>
        <w:t xml:space="preserve">Geangu, E., Ichikawa, H., Lao, J., Kanazawa, S., Yamaguchi, M. K., Caldara, R., &amp; Turati, C. (2016). Culture shapes 7-month-olds’ perceptual strategies in discriminating facial expressions of emotion. </w:t>
      </w:r>
      <w:r w:rsidRPr="00842E5C">
        <w:rPr>
          <w:rFonts w:ascii="Aptos"/>
          <w:i/>
          <w:iCs/>
        </w:rPr>
        <w:t>Current Biology</w:t>
      </w:r>
      <w:r w:rsidRPr="00842E5C">
        <w:rPr>
          <w:rFonts w:ascii="Aptos"/>
        </w:rPr>
        <w:t xml:space="preserve">, </w:t>
      </w:r>
      <w:r w:rsidRPr="00842E5C">
        <w:rPr>
          <w:rFonts w:ascii="Aptos"/>
          <w:i/>
          <w:iCs/>
        </w:rPr>
        <w:t>26</w:t>
      </w:r>
      <w:r w:rsidRPr="00842E5C">
        <w:rPr>
          <w:rFonts w:ascii="Aptos"/>
        </w:rPr>
        <w:t>(14), R663–R664. https://doi.org/10.1016/j.cub.2016.05.072</w:t>
      </w:r>
    </w:p>
    <w:p w14:paraId="4A5F8602" w14:textId="77777777" w:rsidR="00842E5C" w:rsidRPr="00842E5C" w:rsidRDefault="00842E5C" w:rsidP="00842E5C">
      <w:pPr>
        <w:pStyle w:val="Bibliography"/>
        <w:rPr>
          <w:rFonts w:ascii="Aptos"/>
        </w:rPr>
      </w:pPr>
      <w:r w:rsidRPr="00842E5C">
        <w:rPr>
          <w:rFonts w:ascii="Aptos"/>
        </w:rPr>
        <w:t xml:space="preserve">Hopper, L. M., Gulli, R. A., Howard, L. H., Kano, F., Krupenye, C., Ryan, A. M., &amp; Paukner, A. (2021). The application of noninvasive, restraint-free eye-tracking methods for use with nonhuman primates. </w:t>
      </w:r>
      <w:r w:rsidRPr="00842E5C">
        <w:rPr>
          <w:rFonts w:ascii="Aptos"/>
          <w:i/>
          <w:iCs/>
        </w:rPr>
        <w:t>Behavior Research Methods</w:t>
      </w:r>
      <w:r w:rsidRPr="00842E5C">
        <w:rPr>
          <w:rFonts w:ascii="Aptos"/>
        </w:rPr>
        <w:t xml:space="preserve">, </w:t>
      </w:r>
      <w:r w:rsidRPr="00842E5C">
        <w:rPr>
          <w:rFonts w:ascii="Aptos"/>
          <w:i/>
          <w:iCs/>
        </w:rPr>
        <w:t>53</w:t>
      </w:r>
      <w:r w:rsidRPr="00842E5C">
        <w:rPr>
          <w:rFonts w:ascii="Aptos"/>
        </w:rPr>
        <w:t>(3), 1003–1030. https://doi.org/10.3758/s13428-020-01465-6</w:t>
      </w:r>
    </w:p>
    <w:p w14:paraId="4DA4DDA2" w14:textId="77777777" w:rsidR="00842E5C" w:rsidRPr="00842E5C" w:rsidRDefault="00842E5C" w:rsidP="00842E5C">
      <w:pPr>
        <w:pStyle w:val="Bibliography"/>
        <w:rPr>
          <w:rFonts w:ascii="Aptos"/>
        </w:rPr>
      </w:pPr>
      <w:r w:rsidRPr="00842E5C">
        <w:rPr>
          <w:rFonts w:ascii="Aptos"/>
        </w:rPr>
        <w:t xml:space="preserve">Izard, C. E. (1994). Innate and Universal Facial Expressions: Evidence From Developmental and Cross-Cultural Research. </w:t>
      </w:r>
      <w:r w:rsidRPr="00842E5C">
        <w:rPr>
          <w:rFonts w:ascii="Aptos"/>
          <w:i/>
          <w:iCs/>
        </w:rPr>
        <w:t>Psychological Bulletin</w:t>
      </w:r>
      <w:r w:rsidRPr="00842E5C">
        <w:rPr>
          <w:rFonts w:ascii="Aptos"/>
        </w:rPr>
        <w:t xml:space="preserve">, </w:t>
      </w:r>
      <w:r w:rsidRPr="00842E5C">
        <w:rPr>
          <w:rFonts w:ascii="Aptos"/>
          <w:i/>
          <w:iCs/>
        </w:rPr>
        <w:t>115</w:t>
      </w:r>
      <w:r w:rsidRPr="00842E5C">
        <w:rPr>
          <w:rFonts w:ascii="Aptos"/>
        </w:rPr>
        <w:t>(2), 288–299. https://doi.org/10.1037/0033-2909.115.2.288</w:t>
      </w:r>
    </w:p>
    <w:p w14:paraId="48D777B4" w14:textId="77777777" w:rsidR="00842E5C" w:rsidRPr="00842E5C" w:rsidRDefault="00842E5C" w:rsidP="00842E5C">
      <w:pPr>
        <w:pStyle w:val="Bibliography"/>
        <w:rPr>
          <w:rFonts w:ascii="Aptos"/>
        </w:rPr>
      </w:pPr>
      <w:r w:rsidRPr="00842E5C">
        <w:rPr>
          <w:rFonts w:ascii="Aptos"/>
        </w:rPr>
        <w:t xml:space="preserve">Jack, R. E., Blais, C., Scheepers, C., Schyns, P. G., &amp; Caldara, R. (2009). Cultural Confusions Show that Facial Expressions Are Not Universal. </w:t>
      </w:r>
      <w:r w:rsidRPr="00842E5C">
        <w:rPr>
          <w:rFonts w:ascii="Aptos"/>
          <w:i/>
          <w:iCs/>
        </w:rPr>
        <w:t>Current Biology</w:t>
      </w:r>
      <w:r w:rsidRPr="00842E5C">
        <w:rPr>
          <w:rFonts w:ascii="Aptos"/>
        </w:rPr>
        <w:t xml:space="preserve">, </w:t>
      </w:r>
      <w:r w:rsidRPr="00842E5C">
        <w:rPr>
          <w:rFonts w:ascii="Aptos"/>
          <w:i/>
          <w:iCs/>
        </w:rPr>
        <w:t>19</w:t>
      </w:r>
      <w:r w:rsidRPr="00842E5C">
        <w:rPr>
          <w:rFonts w:ascii="Aptos"/>
        </w:rPr>
        <w:t>(18), 1543–1548. https://doi.org/10.1016/j.cub.2009.07.051</w:t>
      </w:r>
    </w:p>
    <w:p w14:paraId="0D1804CB" w14:textId="77777777" w:rsidR="00842E5C" w:rsidRPr="00842E5C" w:rsidRDefault="00842E5C" w:rsidP="00842E5C">
      <w:pPr>
        <w:pStyle w:val="Bibliography"/>
        <w:rPr>
          <w:rFonts w:ascii="Aptos"/>
        </w:rPr>
      </w:pPr>
      <w:r w:rsidRPr="00842E5C">
        <w:rPr>
          <w:rFonts w:ascii="Aptos"/>
        </w:rPr>
        <w:lastRenderedPageBreak/>
        <w:t xml:space="preserve">Jack, R. E., Caldara, R., &amp; Schyns, P. G. (2012). Internal Representations Reveal Cultural Diversity in Expectations of Facial Expressions of Emotion. </w:t>
      </w:r>
      <w:r w:rsidRPr="00842E5C">
        <w:rPr>
          <w:rFonts w:ascii="Aptos"/>
          <w:i/>
          <w:iCs/>
        </w:rPr>
        <w:t>Journal of Experimental Psychology. General</w:t>
      </w:r>
      <w:r w:rsidRPr="00842E5C">
        <w:rPr>
          <w:rFonts w:ascii="Aptos"/>
        </w:rPr>
        <w:t xml:space="preserve">, </w:t>
      </w:r>
      <w:r w:rsidRPr="00842E5C">
        <w:rPr>
          <w:rFonts w:ascii="Aptos"/>
          <w:i/>
          <w:iCs/>
        </w:rPr>
        <w:t>141</w:t>
      </w:r>
      <w:r w:rsidRPr="00842E5C">
        <w:rPr>
          <w:rFonts w:ascii="Aptos"/>
        </w:rPr>
        <w:t>(1), 19–25. https://doi.org/10.1037/a0023463</w:t>
      </w:r>
    </w:p>
    <w:p w14:paraId="6D7C8F66" w14:textId="77777777" w:rsidR="00842E5C" w:rsidRPr="00842E5C" w:rsidRDefault="00842E5C" w:rsidP="00842E5C">
      <w:pPr>
        <w:pStyle w:val="Bibliography"/>
        <w:rPr>
          <w:rFonts w:ascii="Aptos"/>
        </w:rPr>
      </w:pPr>
      <w:r w:rsidRPr="00842E5C">
        <w:rPr>
          <w:rFonts w:ascii="Aptos"/>
        </w:rPr>
        <w:t xml:space="preserve">Jack, R. E., Garrod, O. G. B., Yu, H., Caldara, R., &amp; Schyns, P. G. (2012). Facial expressions of emotion are not culturally universal. </w:t>
      </w:r>
      <w:r w:rsidRPr="00842E5C">
        <w:rPr>
          <w:rFonts w:ascii="Aptos"/>
          <w:i/>
          <w:iCs/>
        </w:rPr>
        <w:t>Proceedings of the National Academy of Sciences</w:t>
      </w:r>
      <w:r w:rsidRPr="00842E5C">
        <w:rPr>
          <w:rFonts w:ascii="Aptos"/>
        </w:rPr>
        <w:t xml:space="preserve">, </w:t>
      </w:r>
      <w:r w:rsidRPr="00842E5C">
        <w:rPr>
          <w:rFonts w:ascii="Aptos"/>
          <w:i/>
          <w:iCs/>
        </w:rPr>
        <w:t>109</w:t>
      </w:r>
      <w:r w:rsidRPr="00842E5C">
        <w:rPr>
          <w:rFonts w:ascii="Aptos"/>
        </w:rPr>
        <w:t>(19), 7241–7244. https://doi.org/10.1073/pnas.1200155109</w:t>
      </w:r>
    </w:p>
    <w:p w14:paraId="5E9629F9" w14:textId="77777777" w:rsidR="00842E5C" w:rsidRPr="00842E5C" w:rsidRDefault="00842E5C" w:rsidP="00842E5C">
      <w:pPr>
        <w:pStyle w:val="Bibliography"/>
        <w:rPr>
          <w:rFonts w:ascii="Aptos"/>
        </w:rPr>
      </w:pPr>
      <w:r w:rsidRPr="00842E5C">
        <w:rPr>
          <w:rFonts w:ascii="Aptos"/>
        </w:rPr>
        <w:t xml:space="preserve">Kano, F., Call, J., &amp; Tomonaga, M. (2012). Face and Eye Scanning in Gorillas (Gorilla gorilla), Orangutans (Pongo abelii), and Humans (Homo sapiens): Unique Eye-Viewing Patterns in Humans Among Hominids. </w:t>
      </w:r>
      <w:r w:rsidRPr="00842E5C">
        <w:rPr>
          <w:rFonts w:ascii="Aptos"/>
          <w:i/>
          <w:iCs/>
        </w:rPr>
        <w:t>Journal of Comparative Psychology</w:t>
      </w:r>
      <w:r w:rsidRPr="00842E5C">
        <w:rPr>
          <w:rFonts w:ascii="Aptos"/>
        </w:rPr>
        <w:t xml:space="preserve">, </w:t>
      </w:r>
      <w:r w:rsidRPr="00842E5C">
        <w:rPr>
          <w:rFonts w:ascii="Aptos"/>
          <w:i/>
          <w:iCs/>
        </w:rPr>
        <w:t>126</w:t>
      </w:r>
      <w:r w:rsidRPr="00842E5C">
        <w:rPr>
          <w:rFonts w:ascii="Aptos"/>
        </w:rPr>
        <w:t>(4), 388–398. https://doi.org/10.1037/a0029615</w:t>
      </w:r>
    </w:p>
    <w:p w14:paraId="41D52147" w14:textId="77777777" w:rsidR="00842E5C" w:rsidRPr="00842E5C" w:rsidRDefault="00842E5C" w:rsidP="00842E5C">
      <w:pPr>
        <w:pStyle w:val="Bibliography"/>
        <w:rPr>
          <w:rFonts w:ascii="Aptos"/>
        </w:rPr>
      </w:pPr>
      <w:r w:rsidRPr="00842E5C">
        <w:rPr>
          <w:rFonts w:ascii="Aptos"/>
        </w:rPr>
        <w:t xml:space="preserve">Kano, F., Hirata, S., &amp; Call, J. (2015). Social Attention in the Two Species of Pan: Bonobos Make More Eye Contact than Chimpanzees. </w:t>
      </w:r>
      <w:r w:rsidRPr="00842E5C">
        <w:rPr>
          <w:rFonts w:ascii="Aptos"/>
          <w:i/>
          <w:iCs/>
        </w:rPr>
        <w:t>PLOS ONE</w:t>
      </w:r>
      <w:r w:rsidRPr="00842E5C">
        <w:rPr>
          <w:rFonts w:ascii="Aptos"/>
        </w:rPr>
        <w:t xml:space="preserve">, </w:t>
      </w:r>
      <w:r w:rsidRPr="00842E5C">
        <w:rPr>
          <w:rFonts w:ascii="Aptos"/>
          <w:i/>
          <w:iCs/>
        </w:rPr>
        <w:t>10</w:t>
      </w:r>
      <w:r w:rsidRPr="00842E5C">
        <w:rPr>
          <w:rFonts w:ascii="Aptos"/>
        </w:rPr>
        <w:t>(6), e0129684. https://doi.org/10.1371/journal.pone.0129684</w:t>
      </w:r>
    </w:p>
    <w:p w14:paraId="286A893F" w14:textId="77777777" w:rsidR="00842E5C" w:rsidRPr="00842E5C" w:rsidRDefault="00842E5C" w:rsidP="00842E5C">
      <w:pPr>
        <w:pStyle w:val="Bibliography"/>
        <w:rPr>
          <w:rFonts w:ascii="Aptos"/>
        </w:rPr>
      </w:pPr>
      <w:r w:rsidRPr="00842E5C">
        <w:rPr>
          <w:rFonts w:ascii="Aptos"/>
        </w:rPr>
        <w:t xml:space="preserve">Kano, F., &amp; Tomonaga, M. (2009). How chimpanzees look at pictures: A comparative eye-tracking study. </w:t>
      </w:r>
      <w:r w:rsidRPr="00842E5C">
        <w:rPr>
          <w:rFonts w:ascii="Aptos"/>
          <w:i/>
          <w:iCs/>
        </w:rPr>
        <w:t>Proceedings of the Royal Society B</w:t>
      </w:r>
      <w:r w:rsidRPr="00842E5C">
        <w:rPr>
          <w:rFonts w:ascii="Arial" w:hAnsi="Arial" w:cs="Arial"/>
          <w:i/>
          <w:iCs/>
        </w:rPr>
        <w:t> </w:t>
      </w:r>
      <w:r w:rsidRPr="00842E5C">
        <w:rPr>
          <w:rFonts w:ascii="Aptos"/>
          <w:i/>
          <w:iCs/>
        </w:rPr>
        <w:t>: Biological Sciences</w:t>
      </w:r>
      <w:r w:rsidRPr="00842E5C">
        <w:rPr>
          <w:rFonts w:ascii="Aptos"/>
        </w:rPr>
        <w:t xml:space="preserve">, </w:t>
      </w:r>
      <w:r w:rsidRPr="00842E5C">
        <w:rPr>
          <w:rFonts w:ascii="Aptos"/>
          <w:i/>
          <w:iCs/>
        </w:rPr>
        <w:t>276</w:t>
      </w:r>
      <w:r w:rsidRPr="00842E5C">
        <w:rPr>
          <w:rFonts w:ascii="Aptos"/>
        </w:rPr>
        <w:t>(1664), 1949–1955. https://doi.org/10.1098/rspb.2008.1811</w:t>
      </w:r>
    </w:p>
    <w:p w14:paraId="1A1FF14F" w14:textId="77777777" w:rsidR="00842E5C" w:rsidRPr="00842E5C" w:rsidRDefault="00842E5C" w:rsidP="00842E5C">
      <w:pPr>
        <w:pStyle w:val="Bibliography"/>
        <w:rPr>
          <w:rFonts w:ascii="Aptos"/>
        </w:rPr>
      </w:pPr>
      <w:r w:rsidRPr="00842E5C">
        <w:rPr>
          <w:rFonts w:ascii="Aptos"/>
        </w:rPr>
        <w:t xml:space="preserve">Kano, T. (1982). The social group of pygmy chimpanzees (Pan paniscus) of Wamba. </w:t>
      </w:r>
      <w:r w:rsidRPr="00842E5C">
        <w:rPr>
          <w:rFonts w:ascii="Aptos"/>
          <w:i/>
          <w:iCs/>
        </w:rPr>
        <w:t>Primates</w:t>
      </w:r>
      <w:r w:rsidRPr="00842E5C">
        <w:rPr>
          <w:rFonts w:ascii="Aptos"/>
        </w:rPr>
        <w:t xml:space="preserve">, </w:t>
      </w:r>
      <w:r w:rsidRPr="00842E5C">
        <w:rPr>
          <w:rFonts w:ascii="Aptos"/>
          <w:i/>
          <w:iCs/>
        </w:rPr>
        <w:t>23</w:t>
      </w:r>
      <w:r w:rsidRPr="00842E5C">
        <w:rPr>
          <w:rFonts w:ascii="Aptos"/>
        </w:rPr>
        <w:t>(2), 171–188. https://doi.org/10.1007/bf02381159</w:t>
      </w:r>
    </w:p>
    <w:p w14:paraId="567918BF" w14:textId="77777777" w:rsidR="00842E5C" w:rsidRPr="00842E5C" w:rsidRDefault="00842E5C" w:rsidP="00842E5C">
      <w:pPr>
        <w:pStyle w:val="Bibliography"/>
        <w:rPr>
          <w:rFonts w:ascii="Aptos"/>
        </w:rPr>
      </w:pPr>
      <w:r w:rsidRPr="00842E5C">
        <w:rPr>
          <w:rFonts w:ascii="Aptos"/>
        </w:rPr>
        <w:t xml:space="preserve">Lewis, L. S., Wessling, E. G., Kano, F., Stevens, J. M. G., Call, J., &amp; Krupenye, C. (2023). Bonobos and chimpanzees remember familiar conspecifics for decades. </w:t>
      </w:r>
      <w:r w:rsidRPr="00842E5C">
        <w:rPr>
          <w:rFonts w:ascii="Aptos"/>
          <w:i/>
          <w:iCs/>
        </w:rPr>
        <w:t>Proceedings of the National Academy of Sciences</w:t>
      </w:r>
      <w:r w:rsidRPr="00842E5C">
        <w:rPr>
          <w:rFonts w:ascii="Aptos"/>
        </w:rPr>
        <w:t xml:space="preserve">, </w:t>
      </w:r>
      <w:r w:rsidRPr="00842E5C">
        <w:rPr>
          <w:rFonts w:ascii="Aptos"/>
          <w:i/>
          <w:iCs/>
        </w:rPr>
        <w:t>120</w:t>
      </w:r>
      <w:r w:rsidRPr="00842E5C">
        <w:rPr>
          <w:rFonts w:ascii="Aptos"/>
        </w:rPr>
        <w:t>(52), e2304903120. https://doi.org/10.1073/pnas.2304903120</w:t>
      </w:r>
    </w:p>
    <w:p w14:paraId="7EB7484D" w14:textId="77777777" w:rsidR="00842E5C" w:rsidRPr="00842E5C" w:rsidRDefault="00842E5C" w:rsidP="00842E5C">
      <w:pPr>
        <w:pStyle w:val="Bibliography"/>
        <w:rPr>
          <w:rFonts w:ascii="Aptos"/>
        </w:rPr>
      </w:pPr>
      <w:r w:rsidRPr="00842E5C">
        <w:rPr>
          <w:rFonts w:ascii="Aptos"/>
        </w:rPr>
        <w:lastRenderedPageBreak/>
        <w:t xml:space="preserve">Palagi, E. (2006). Social play in bonobos (Pan paniscus) and chimpanzees (Pan troglodytes): Implications for natural social systems and interindividual relationships. </w:t>
      </w:r>
      <w:r w:rsidRPr="00842E5C">
        <w:rPr>
          <w:rFonts w:ascii="Aptos"/>
          <w:i/>
          <w:iCs/>
        </w:rPr>
        <w:t>American Journal of Physical Anthropology</w:t>
      </w:r>
      <w:r w:rsidRPr="00842E5C">
        <w:rPr>
          <w:rFonts w:ascii="Aptos"/>
        </w:rPr>
        <w:t xml:space="preserve">, </w:t>
      </w:r>
      <w:r w:rsidRPr="00842E5C">
        <w:rPr>
          <w:rFonts w:ascii="Aptos"/>
          <w:i/>
          <w:iCs/>
        </w:rPr>
        <w:t>129</w:t>
      </w:r>
      <w:r w:rsidRPr="00842E5C">
        <w:rPr>
          <w:rFonts w:ascii="Aptos"/>
        </w:rPr>
        <w:t>(3), 418–426. https://doi.org/10.1002/ajpa.20289</w:t>
      </w:r>
    </w:p>
    <w:p w14:paraId="585DA7E9" w14:textId="77777777" w:rsidR="00842E5C" w:rsidRPr="00842E5C" w:rsidRDefault="00842E5C" w:rsidP="00842E5C">
      <w:pPr>
        <w:pStyle w:val="Bibliography"/>
        <w:rPr>
          <w:rFonts w:ascii="Aptos"/>
        </w:rPr>
      </w:pPr>
      <w:r w:rsidRPr="00842E5C">
        <w:rPr>
          <w:rFonts w:ascii="Aptos"/>
        </w:rPr>
        <w:t xml:space="preserve">R Core Team. (2025). </w:t>
      </w:r>
      <w:r w:rsidRPr="00842E5C">
        <w:rPr>
          <w:rFonts w:ascii="Aptos"/>
          <w:i/>
          <w:iCs/>
        </w:rPr>
        <w:t>R: A Language and Environment for Statistical Computing.</w:t>
      </w:r>
      <w:r w:rsidRPr="00842E5C">
        <w:rPr>
          <w:rFonts w:ascii="Aptos"/>
        </w:rPr>
        <w:t xml:space="preserve"> [Computer software]. R Foundation for Statistical Computing. https://www.R-project.org/</w:t>
      </w:r>
    </w:p>
    <w:p w14:paraId="1BFF6BE4" w14:textId="77777777" w:rsidR="00842E5C" w:rsidRPr="00842E5C" w:rsidRDefault="00842E5C" w:rsidP="00842E5C">
      <w:pPr>
        <w:pStyle w:val="Bibliography"/>
        <w:rPr>
          <w:rFonts w:ascii="Aptos"/>
        </w:rPr>
      </w:pPr>
      <w:r w:rsidRPr="00292026">
        <w:rPr>
          <w:rFonts w:ascii="Aptos"/>
          <w:lang w:val="fr-FR"/>
        </w:rPr>
        <w:t xml:space="preserve">Samuni, L., Lemieux, D., Lamb, A., Galdino, D., &amp; Surbeck, M. (2022). </w:t>
      </w:r>
      <w:r w:rsidRPr="00842E5C">
        <w:rPr>
          <w:rFonts w:ascii="Aptos"/>
        </w:rPr>
        <w:t xml:space="preserve">Tool use behavior in three wild bonobo communities at Kokolopori. </w:t>
      </w:r>
      <w:r w:rsidRPr="00842E5C">
        <w:rPr>
          <w:rFonts w:ascii="Aptos"/>
          <w:i/>
          <w:iCs/>
        </w:rPr>
        <w:t>American Journal of Primatology</w:t>
      </w:r>
      <w:r w:rsidRPr="00842E5C">
        <w:rPr>
          <w:rFonts w:ascii="Aptos"/>
        </w:rPr>
        <w:t xml:space="preserve">, </w:t>
      </w:r>
      <w:r w:rsidRPr="00842E5C">
        <w:rPr>
          <w:rFonts w:ascii="Aptos"/>
          <w:i/>
          <w:iCs/>
        </w:rPr>
        <w:t>84</w:t>
      </w:r>
      <w:r w:rsidRPr="00842E5C">
        <w:rPr>
          <w:rFonts w:ascii="Aptos"/>
        </w:rPr>
        <w:t>(1), e23342-n/a. https://doi.org/10.1002/ajp.23342</w:t>
      </w:r>
    </w:p>
    <w:p w14:paraId="30DABFED" w14:textId="643461F0" w:rsidR="00842E5C" w:rsidRPr="00842E5C" w:rsidRDefault="00842E5C" w:rsidP="00842E5C">
      <w:pPr>
        <w:pStyle w:val="Bibliography"/>
        <w:rPr>
          <w:rFonts w:ascii="Aptos"/>
        </w:rPr>
      </w:pPr>
      <w:r w:rsidRPr="00842E5C">
        <w:rPr>
          <w:rFonts w:ascii="Aptos"/>
        </w:rPr>
        <w:t xml:space="preserve">Tomkins, S. (1962). </w:t>
      </w:r>
      <w:r w:rsidRPr="00842E5C">
        <w:rPr>
          <w:rFonts w:ascii="Aptos"/>
          <w:i/>
          <w:iCs/>
        </w:rPr>
        <w:t>Affect imagery consciousness: Volume I: The positive affects</w:t>
      </w:r>
      <w:r w:rsidRPr="00842E5C">
        <w:rPr>
          <w:rFonts w:ascii="Aptos"/>
        </w:rPr>
        <w:t xml:space="preserve">. Springer publishing company. </w:t>
      </w:r>
    </w:p>
    <w:p w14:paraId="5301C67B" w14:textId="77777777" w:rsidR="00842E5C" w:rsidRPr="00842E5C" w:rsidRDefault="00842E5C" w:rsidP="00842E5C">
      <w:pPr>
        <w:pStyle w:val="Bibliography"/>
        <w:rPr>
          <w:rFonts w:ascii="Aptos"/>
        </w:rPr>
      </w:pPr>
      <w:r w:rsidRPr="00842E5C">
        <w:rPr>
          <w:rFonts w:ascii="Aptos"/>
        </w:rPr>
        <w:t xml:space="preserve">Waller, B. M., O’Callaghan, O., Micheletta, J., &amp; Whitehouse, J. (2025). </w:t>
      </w:r>
      <w:r w:rsidRPr="00842E5C">
        <w:rPr>
          <w:rFonts w:ascii="Aptos"/>
          <w:i/>
          <w:iCs/>
        </w:rPr>
        <w:t>Facial expression production and perception in non-human primates</w:t>
      </w:r>
      <w:r w:rsidRPr="00842E5C">
        <w:rPr>
          <w:rFonts w:ascii="Aptos"/>
        </w:rPr>
        <w:t>.</w:t>
      </w:r>
    </w:p>
    <w:p w14:paraId="06283F4B" w14:textId="77777777" w:rsidR="00842E5C" w:rsidRPr="00842E5C" w:rsidRDefault="00842E5C" w:rsidP="00842E5C">
      <w:pPr>
        <w:pStyle w:val="Bibliography"/>
        <w:rPr>
          <w:rFonts w:ascii="Aptos"/>
        </w:rPr>
      </w:pPr>
      <w:r w:rsidRPr="00842E5C">
        <w:rPr>
          <w:rFonts w:ascii="Aptos"/>
        </w:rPr>
        <w:t xml:space="preserve">Wieser, M. J., &amp; Brosch, T. (2012). Faces in Context: A Review and Systematization of Contextual Influences on Affective Face Processing. </w:t>
      </w:r>
      <w:r w:rsidRPr="00842E5C">
        <w:rPr>
          <w:rFonts w:ascii="Aptos"/>
          <w:i/>
          <w:iCs/>
        </w:rPr>
        <w:t>Frontiers in Psychology</w:t>
      </w:r>
      <w:r w:rsidRPr="00842E5C">
        <w:rPr>
          <w:rFonts w:ascii="Aptos"/>
        </w:rPr>
        <w:t xml:space="preserve">, </w:t>
      </w:r>
      <w:r w:rsidRPr="00842E5C">
        <w:rPr>
          <w:rFonts w:ascii="Aptos"/>
          <w:i/>
          <w:iCs/>
        </w:rPr>
        <w:t>3</w:t>
      </w:r>
      <w:r w:rsidRPr="00842E5C">
        <w:rPr>
          <w:rFonts w:ascii="Aptos"/>
        </w:rPr>
        <w:t>, 471--. https://doi.org/10.3389/fpsyg.2012.00471</w:t>
      </w:r>
    </w:p>
    <w:p w14:paraId="750BFE13" w14:textId="5110D538" w:rsidR="00842E5C" w:rsidRPr="00842E5C" w:rsidRDefault="00842E5C" w:rsidP="00842E5C">
      <w:r>
        <w:fldChar w:fldCharType="end"/>
      </w:r>
    </w:p>
    <w:sectPr w:rsidR="00842E5C" w:rsidRPr="00842E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4E627" w14:textId="77777777" w:rsidR="00712F6F" w:rsidRDefault="00712F6F" w:rsidP="00D97EEB">
      <w:r>
        <w:separator/>
      </w:r>
    </w:p>
  </w:endnote>
  <w:endnote w:type="continuationSeparator" w:id="0">
    <w:p w14:paraId="7A4D2F9D" w14:textId="77777777" w:rsidR="00712F6F" w:rsidRDefault="00712F6F" w:rsidP="00D97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6D40E" w14:textId="77777777" w:rsidR="00712F6F" w:rsidRDefault="00712F6F" w:rsidP="00D97EEB">
      <w:r>
        <w:separator/>
      </w:r>
    </w:p>
  </w:footnote>
  <w:footnote w:type="continuationSeparator" w:id="0">
    <w:p w14:paraId="68DD4718" w14:textId="77777777" w:rsidR="00712F6F" w:rsidRDefault="00712F6F" w:rsidP="00D97E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024595"/>
    <w:multiLevelType w:val="hybridMultilevel"/>
    <w:tmpl w:val="A4D63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9169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B4C"/>
    <w:rsid w:val="000077CE"/>
    <w:rsid w:val="000079F0"/>
    <w:rsid w:val="000112C4"/>
    <w:rsid w:val="00025651"/>
    <w:rsid w:val="00035187"/>
    <w:rsid w:val="00080A91"/>
    <w:rsid w:val="00090F1B"/>
    <w:rsid w:val="00093FB6"/>
    <w:rsid w:val="000B7283"/>
    <w:rsid w:val="000B7B02"/>
    <w:rsid w:val="000C1ECF"/>
    <w:rsid w:val="000C2FE4"/>
    <w:rsid w:val="000C474A"/>
    <w:rsid w:val="000E7D47"/>
    <w:rsid w:val="000F373F"/>
    <w:rsid w:val="00131BD2"/>
    <w:rsid w:val="0013204E"/>
    <w:rsid w:val="00133841"/>
    <w:rsid w:val="00133A30"/>
    <w:rsid w:val="00141E23"/>
    <w:rsid w:val="00150B78"/>
    <w:rsid w:val="00154752"/>
    <w:rsid w:val="001667D0"/>
    <w:rsid w:val="001719C9"/>
    <w:rsid w:val="0017270F"/>
    <w:rsid w:val="0017661F"/>
    <w:rsid w:val="0018011F"/>
    <w:rsid w:val="00194D8A"/>
    <w:rsid w:val="001A1D44"/>
    <w:rsid w:val="001A5EE1"/>
    <w:rsid w:val="001B4528"/>
    <w:rsid w:val="00207DEF"/>
    <w:rsid w:val="00210067"/>
    <w:rsid w:val="00214E0D"/>
    <w:rsid w:val="0021576E"/>
    <w:rsid w:val="00217FB4"/>
    <w:rsid w:val="002224F6"/>
    <w:rsid w:val="00244489"/>
    <w:rsid w:val="00247A3D"/>
    <w:rsid w:val="00251F66"/>
    <w:rsid w:val="00256EB5"/>
    <w:rsid w:val="00286596"/>
    <w:rsid w:val="00287D79"/>
    <w:rsid w:val="00292026"/>
    <w:rsid w:val="002A1111"/>
    <w:rsid w:val="002A1D5B"/>
    <w:rsid w:val="002A5B70"/>
    <w:rsid w:val="002B39BB"/>
    <w:rsid w:val="002C215B"/>
    <w:rsid w:val="002C6F19"/>
    <w:rsid w:val="002D132B"/>
    <w:rsid w:val="002E6CF4"/>
    <w:rsid w:val="0031114E"/>
    <w:rsid w:val="00312792"/>
    <w:rsid w:val="00316123"/>
    <w:rsid w:val="003163C1"/>
    <w:rsid w:val="00335881"/>
    <w:rsid w:val="00351EA0"/>
    <w:rsid w:val="003675BA"/>
    <w:rsid w:val="003824F7"/>
    <w:rsid w:val="003A7E20"/>
    <w:rsid w:val="003B4EFF"/>
    <w:rsid w:val="003E1787"/>
    <w:rsid w:val="003F6AAE"/>
    <w:rsid w:val="00422CBB"/>
    <w:rsid w:val="00423129"/>
    <w:rsid w:val="004237FE"/>
    <w:rsid w:val="00447104"/>
    <w:rsid w:val="00455FFE"/>
    <w:rsid w:val="00471B0D"/>
    <w:rsid w:val="00483E2E"/>
    <w:rsid w:val="00484338"/>
    <w:rsid w:val="00490E39"/>
    <w:rsid w:val="004964D6"/>
    <w:rsid w:val="004A082B"/>
    <w:rsid w:val="004A2A12"/>
    <w:rsid w:val="004B3235"/>
    <w:rsid w:val="004B74D3"/>
    <w:rsid w:val="004C5BB3"/>
    <w:rsid w:val="004C751D"/>
    <w:rsid w:val="004D0B55"/>
    <w:rsid w:val="004D1E80"/>
    <w:rsid w:val="004D2BEF"/>
    <w:rsid w:val="004D5A5F"/>
    <w:rsid w:val="004D5D5F"/>
    <w:rsid w:val="004F49BC"/>
    <w:rsid w:val="00506B0D"/>
    <w:rsid w:val="005135C7"/>
    <w:rsid w:val="005230D4"/>
    <w:rsid w:val="00530E23"/>
    <w:rsid w:val="0055110F"/>
    <w:rsid w:val="00562078"/>
    <w:rsid w:val="00577EB4"/>
    <w:rsid w:val="00581867"/>
    <w:rsid w:val="00584895"/>
    <w:rsid w:val="0059445F"/>
    <w:rsid w:val="005A40D0"/>
    <w:rsid w:val="005B01A3"/>
    <w:rsid w:val="005B367F"/>
    <w:rsid w:val="005C2389"/>
    <w:rsid w:val="005D2851"/>
    <w:rsid w:val="005D3298"/>
    <w:rsid w:val="005D4DFD"/>
    <w:rsid w:val="005E1609"/>
    <w:rsid w:val="005F6F2E"/>
    <w:rsid w:val="00604300"/>
    <w:rsid w:val="00615926"/>
    <w:rsid w:val="00620697"/>
    <w:rsid w:val="0062679F"/>
    <w:rsid w:val="00626E2B"/>
    <w:rsid w:val="00627979"/>
    <w:rsid w:val="006425DA"/>
    <w:rsid w:val="00653A77"/>
    <w:rsid w:val="00660262"/>
    <w:rsid w:val="00666987"/>
    <w:rsid w:val="00673FA9"/>
    <w:rsid w:val="00684772"/>
    <w:rsid w:val="00686882"/>
    <w:rsid w:val="006A2002"/>
    <w:rsid w:val="006A4348"/>
    <w:rsid w:val="006C05F0"/>
    <w:rsid w:val="006C0FDF"/>
    <w:rsid w:val="006C67D5"/>
    <w:rsid w:val="006C791D"/>
    <w:rsid w:val="006D4A52"/>
    <w:rsid w:val="006E2D8C"/>
    <w:rsid w:val="006F6191"/>
    <w:rsid w:val="00710119"/>
    <w:rsid w:val="0071144B"/>
    <w:rsid w:val="00711D3E"/>
    <w:rsid w:val="00712F6F"/>
    <w:rsid w:val="00713ACC"/>
    <w:rsid w:val="00720795"/>
    <w:rsid w:val="00723D05"/>
    <w:rsid w:val="00726577"/>
    <w:rsid w:val="00746AF1"/>
    <w:rsid w:val="00747AA2"/>
    <w:rsid w:val="00752BDA"/>
    <w:rsid w:val="00764A22"/>
    <w:rsid w:val="00771DE1"/>
    <w:rsid w:val="00782AA1"/>
    <w:rsid w:val="00791757"/>
    <w:rsid w:val="00791A1E"/>
    <w:rsid w:val="0079299E"/>
    <w:rsid w:val="007E36BE"/>
    <w:rsid w:val="007F3DAF"/>
    <w:rsid w:val="008023BC"/>
    <w:rsid w:val="00812444"/>
    <w:rsid w:val="008124E7"/>
    <w:rsid w:val="008152E2"/>
    <w:rsid w:val="00821C23"/>
    <w:rsid w:val="0082286F"/>
    <w:rsid w:val="0082675D"/>
    <w:rsid w:val="00827558"/>
    <w:rsid w:val="008310E8"/>
    <w:rsid w:val="0083678D"/>
    <w:rsid w:val="00840431"/>
    <w:rsid w:val="00842E5C"/>
    <w:rsid w:val="0084452C"/>
    <w:rsid w:val="008511BD"/>
    <w:rsid w:val="0085474D"/>
    <w:rsid w:val="008579C2"/>
    <w:rsid w:val="0086592A"/>
    <w:rsid w:val="00867BE3"/>
    <w:rsid w:val="00873F93"/>
    <w:rsid w:val="00882DA5"/>
    <w:rsid w:val="00887AF3"/>
    <w:rsid w:val="008921E0"/>
    <w:rsid w:val="008A1656"/>
    <w:rsid w:val="008C23A0"/>
    <w:rsid w:val="008C49F0"/>
    <w:rsid w:val="008C4D70"/>
    <w:rsid w:val="008C4FE6"/>
    <w:rsid w:val="008C6C40"/>
    <w:rsid w:val="008D059C"/>
    <w:rsid w:val="008D1E8E"/>
    <w:rsid w:val="008D2C4D"/>
    <w:rsid w:val="008E735B"/>
    <w:rsid w:val="008F4D1A"/>
    <w:rsid w:val="009036E2"/>
    <w:rsid w:val="009325E3"/>
    <w:rsid w:val="0093562E"/>
    <w:rsid w:val="009530DB"/>
    <w:rsid w:val="0096610D"/>
    <w:rsid w:val="009717EA"/>
    <w:rsid w:val="00976F95"/>
    <w:rsid w:val="009951F4"/>
    <w:rsid w:val="00997312"/>
    <w:rsid w:val="009A1EA8"/>
    <w:rsid w:val="009A2921"/>
    <w:rsid w:val="009A442F"/>
    <w:rsid w:val="009A5C63"/>
    <w:rsid w:val="009A6362"/>
    <w:rsid w:val="009B230F"/>
    <w:rsid w:val="009C4844"/>
    <w:rsid w:val="009D609E"/>
    <w:rsid w:val="009F4CC9"/>
    <w:rsid w:val="00A16BD2"/>
    <w:rsid w:val="00A1738F"/>
    <w:rsid w:val="00A21D94"/>
    <w:rsid w:val="00A230F4"/>
    <w:rsid w:val="00A37B4C"/>
    <w:rsid w:val="00A519FD"/>
    <w:rsid w:val="00A56FDB"/>
    <w:rsid w:val="00A57D1B"/>
    <w:rsid w:val="00A60079"/>
    <w:rsid w:val="00A70475"/>
    <w:rsid w:val="00A730B3"/>
    <w:rsid w:val="00A82ABF"/>
    <w:rsid w:val="00A9691B"/>
    <w:rsid w:val="00AA0B51"/>
    <w:rsid w:val="00AB14BF"/>
    <w:rsid w:val="00AC33F2"/>
    <w:rsid w:val="00AD32F0"/>
    <w:rsid w:val="00AD3C28"/>
    <w:rsid w:val="00AE2BC2"/>
    <w:rsid w:val="00AE5162"/>
    <w:rsid w:val="00AF0068"/>
    <w:rsid w:val="00AF05A3"/>
    <w:rsid w:val="00AF2F3B"/>
    <w:rsid w:val="00B01154"/>
    <w:rsid w:val="00B1004D"/>
    <w:rsid w:val="00B36949"/>
    <w:rsid w:val="00B36B26"/>
    <w:rsid w:val="00B42A78"/>
    <w:rsid w:val="00B55C3F"/>
    <w:rsid w:val="00B67291"/>
    <w:rsid w:val="00B672EE"/>
    <w:rsid w:val="00B77542"/>
    <w:rsid w:val="00B8396F"/>
    <w:rsid w:val="00B9514E"/>
    <w:rsid w:val="00B97E79"/>
    <w:rsid w:val="00BA2D48"/>
    <w:rsid w:val="00BC0F13"/>
    <w:rsid w:val="00BD0287"/>
    <w:rsid w:val="00BD0B72"/>
    <w:rsid w:val="00BD6E80"/>
    <w:rsid w:val="00BD7671"/>
    <w:rsid w:val="00BF592D"/>
    <w:rsid w:val="00C27A43"/>
    <w:rsid w:val="00C347E7"/>
    <w:rsid w:val="00C41155"/>
    <w:rsid w:val="00C43A03"/>
    <w:rsid w:val="00C446C3"/>
    <w:rsid w:val="00C458C3"/>
    <w:rsid w:val="00C949F8"/>
    <w:rsid w:val="00CB7A4B"/>
    <w:rsid w:val="00CD2882"/>
    <w:rsid w:val="00CE05B4"/>
    <w:rsid w:val="00CE0F58"/>
    <w:rsid w:val="00D01262"/>
    <w:rsid w:val="00D0535E"/>
    <w:rsid w:val="00D26ACB"/>
    <w:rsid w:val="00D509A3"/>
    <w:rsid w:val="00D564BB"/>
    <w:rsid w:val="00D73AD3"/>
    <w:rsid w:val="00D74F4B"/>
    <w:rsid w:val="00D76EDB"/>
    <w:rsid w:val="00D809C1"/>
    <w:rsid w:val="00D9439B"/>
    <w:rsid w:val="00D97EEB"/>
    <w:rsid w:val="00DA1551"/>
    <w:rsid w:val="00DA3810"/>
    <w:rsid w:val="00DC4352"/>
    <w:rsid w:val="00DD2936"/>
    <w:rsid w:val="00DD4B59"/>
    <w:rsid w:val="00E12984"/>
    <w:rsid w:val="00E1681E"/>
    <w:rsid w:val="00E16941"/>
    <w:rsid w:val="00E1757D"/>
    <w:rsid w:val="00E23D3F"/>
    <w:rsid w:val="00E30F6E"/>
    <w:rsid w:val="00E67346"/>
    <w:rsid w:val="00E8088C"/>
    <w:rsid w:val="00E80A73"/>
    <w:rsid w:val="00E91CCE"/>
    <w:rsid w:val="00EC083A"/>
    <w:rsid w:val="00ED3F5E"/>
    <w:rsid w:val="00ED644F"/>
    <w:rsid w:val="00ED7A96"/>
    <w:rsid w:val="00EF67F0"/>
    <w:rsid w:val="00F17429"/>
    <w:rsid w:val="00F30667"/>
    <w:rsid w:val="00F31B3E"/>
    <w:rsid w:val="00F34F36"/>
    <w:rsid w:val="00F355F3"/>
    <w:rsid w:val="00F417E5"/>
    <w:rsid w:val="00F44E59"/>
    <w:rsid w:val="00F44EFE"/>
    <w:rsid w:val="00F50123"/>
    <w:rsid w:val="00F5403E"/>
    <w:rsid w:val="00F63E6D"/>
    <w:rsid w:val="00F76BF2"/>
    <w:rsid w:val="00F95E1D"/>
    <w:rsid w:val="00FA3B4F"/>
    <w:rsid w:val="00FA4174"/>
    <w:rsid w:val="00FB3CE3"/>
    <w:rsid w:val="00FB7D86"/>
    <w:rsid w:val="00FC3711"/>
    <w:rsid w:val="00FC6FCD"/>
    <w:rsid w:val="00FD4B53"/>
    <w:rsid w:val="00FD7CC0"/>
    <w:rsid w:val="00FE0902"/>
    <w:rsid w:val="00FE126A"/>
    <w:rsid w:val="00FE4E77"/>
    <w:rsid w:val="00FE692A"/>
    <w:rsid w:val="00FE71BD"/>
    <w:rsid w:val="00FF21AE"/>
    <w:rsid w:val="0235A58D"/>
    <w:rsid w:val="06BA39AC"/>
    <w:rsid w:val="1537B656"/>
    <w:rsid w:val="162B26B7"/>
    <w:rsid w:val="191F4D82"/>
    <w:rsid w:val="1FA2868F"/>
    <w:rsid w:val="2555538E"/>
    <w:rsid w:val="28C343CA"/>
    <w:rsid w:val="2A7BA5CB"/>
    <w:rsid w:val="41DA6628"/>
    <w:rsid w:val="4462EEBD"/>
    <w:rsid w:val="48A500D4"/>
    <w:rsid w:val="4A52C2FB"/>
    <w:rsid w:val="4BD5B7AC"/>
    <w:rsid w:val="4DC772FD"/>
    <w:rsid w:val="5F2C26D6"/>
    <w:rsid w:val="601F8133"/>
    <w:rsid w:val="604EC4EA"/>
    <w:rsid w:val="64E98E90"/>
    <w:rsid w:val="65DB8DBA"/>
    <w:rsid w:val="71342BC4"/>
    <w:rsid w:val="7BD34AEB"/>
    <w:rsid w:val="7FA9462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7B18"/>
  <w15:chartTrackingRefBased/>
  <w15:docId w15:val="{9FA0D797-4F6F-A543-B296-09C76CDE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7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37B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7B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7B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7B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B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B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B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B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7B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37B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7B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7B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7B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B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B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B4C"/>
    <w:rPr>
      <w:rFonts w:eastAsiaTheme="majorEastAsia" w:cstheme="majorBidi"/>
      <w:color w:val="272727" w:themeColor="text1" w:themeTint="D8"/>
    </w:rPr>
  </w:style>
  <w:style w:type="paragraph" w:styleId="Title">
    <w:name w:val="Title"/>
    <w:basedOn w:val="Normal"/>
    <w:next w:val="Normal"/>
    <w:link w:val="TitleChar"/>
    <w:uiPriority w:val="10"/>
    <w:qFormat/>
    <w:rsid w:val="00A37B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B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B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B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B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7B4C"/>
    <w:rPr>
      <w:i/>
      <w:iCs/>
      <w:color w:val="404040" w:themeColor="text1" w:themeTint="BF"/>
    </w:rPr>
  </w:style>
  <w:style w:type="paragraph" w:styleId="ListParagraph">
    <w:name w:val="List Paragraph"/>
    <w:basedOn w:val="Normal"/>
    <w:uiPriority w:val="34"/>
    <w:qFormat/>
    <w:rsid w:val="00A37B4C"/>
    <w:pPr>
      <w:ind w:left="720"/>
      <w:contextualSpacing/>
    </w:pPr>
  </w:style>
  <w:style w:type="character" w:styleId="IntenseEmphasis">
    <w:name w:val="Intense Emphasis"/>
    <w:basedOn w:val="DefaultParagraphFont"/>
    <w:uiPriority w:val="21"/>
    <w:qFormat/>
    <w:rsid w:val="00A37B4C"/>
    <w:rPr>
      <w:i/>
      <w:iCs/>
      <w:color w:val="0F4761" w:themeColor="accent1" w:themeShade="BF"/>
    </w:rPr>
  </w:style>
  <w:style w:type="paragraph" w:styleId="IntenseQuote">
    <w:name w:val="Intense Quote"/>
    <w:basedOn w:val="Normal"/>
    <w:next w:val="Normal"/>
    <w:link w:val="IntenseQuoteChar"/>
    <w:uiPriority w:val="30"/>
    <w:qFormat/>
    <w:rsid w:val="00A37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7B4C"/>
    <w:rPr>
      <w:i/>
      <w:iCs/>
      <w:color w:val="0F4761" w:themeColor="accent1" w:themeShade="BF"/>
    </w:rPr>
  </w:style>
  <w:style w:type="character" w:styleId="IntenseReference">
    <w:name w:val="Intense Reference"/>
    <w:basedOn w:val="DefaultParagraphFont"/>
    <w:uiPriority w:val="32"/>
    <w:qFormat/>
    <w:rsid w:val="00A37B4C"/>
    <w:rPr>
      <w:b/>
      <w:bCs/>
      <w:smallCaps/>
      <w:color w:val="0F4761" w:themeColor="accent1" w:themeShade="BF"/>
      <w:spacing w:val="5"/>
    </w:rPr>
  </w:style>
  <w:style w:type="paragraph" w:styleId="Caption">
    <w:name w:val="caption"/>
    <w:basedOn w:val="Normal"/>
    <w:next w:val="Normal"/>
    <w:uiPriority w:val="35"/>
    <w:unhideWhenUsed/>
    <w:qFormat/>
    <w:rsid w:val="007F3DAF"/>
    <w:pPr>
      <w:spacing w:after="200"/>
    </w:pPr>
    <w:rPr>
      <w:i/>
      <w:iCs/>
      <w:color w:val="0E2841" w:themeColor="text2"/>
      <w:sz w:val="18"/>
      <w:szCs w:val="18"/>
    </w:rPr>
  </w:style>
  <w:style w:type="character" w:customStyle="1" w:styleId="normaltextrun">
    <w:name w:val="normaltextrun"/>
    <w:basedOn w:val="DefaultParagraphFont"/>
    <w:rsid w:val="00AF2F3B"/>
  </w:style>
  <w:style w:type="character" w:customStyle="1" w:styleId="eop">
    <w:name w:val="eop"/>
    <w:basedOn w:val="DefaultParagraphFont"/>
    <w:rsid w:val="00AF2F3B"/>
  </w:style>
  <w:style w:type="paragraph" w:customStyle="1" w:styleId="paragraph">
    <w:name w:val="paragraph"/>
    <w:basedOn w:val="Normal"/>
    <w:rsid w:val="00AF2F3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ntentcontrolboundarysink">
    <w:name w:val="contentcontrolboundarysink"/>
    <w:basedOn w:val="DefaultParagraphFont"/>
    <w:rsid w:val="00AF2F3B"/>
  </w:style>
  <w:style w:type="table" w:styleId="TableGrid">
    <w:name w:val="Table Grid"/>
    <w:basedOn w:val="TableNormal"/>
    <w:uiPriority w:val="39"/>
    <w:rsid w:val="00FE6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325E3"/>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D564BB"/>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D97EEB"/>
    <w:pPr>
      <w:tabs>
        <w:tab w:val="center" w:pos="4513"/>
        <w:tab w:val="right" w:pos="9026"/>
      </w:tabs>
    </w:pPr>
  </w:style>
  <w:style w:type="character" w:customStyle="1" w:styleId="HeaderChar">
    <w:name w:val="Header Char"/>
    <w:basedOn w:val="DefaultParagraphFont"/>
    <w:link w:val="Header"/>
    <w:uiPriority w:val="99"/>
    <w:rsid w:val="00D97EEB"/>
  </w:style>
  <w:style w:type="paragraph" w:styleId="Footer">
    <w:name w:val="footer"/>
    <w:basedOn w:val="Normal"/>
    <w:link w:val="FooterChar"/>
    <w:uiPriority w:val="99"/>
    <w:unhideWhenUsed/>
    <w:rsid w:val="00D97EEB"/>
    <w:pPr>
      <w:tabs>
        <w:tab w:val="center" w:pos="4513"/>
        <w:tab w:val="right" w:pos="9026"/>
      </w:tabs>
    </w:pPr>
  </w:style>
  <w:style w:type="character" w:customStyle="1" w:styleId="FooterChar">
    <w:name w:val="Footer Char"/>
    <w:basedOn w:val="DefaultParagraphFont"/>
    <w:link w:val="Footer"/>
    <w:uiPriority w:val="99"/>
    <w:rsid w:val="00D97EEB"/>
  </w:style>
  <w:style w:type="paragraph" w:styleId="Bibliography">
    <w:name w:val="Bibliography"/>
    <w:basedOn w:val="Normal"/>
    <w:next w:val="Normal"/>
    <w:uiPriority w:val="37"/>
    <w:unhideWhenUsed/>
    <w:rsid w:val="00842E5C"/>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4409</Words>
  <Characters>25705</Characters>
  <Application>Microsoft Office Word</Application>
  <DocSecurity>0</DocSecurity>
  <Lines>431</Lines>
  <Paragraphs>92</Paragraphs>
  <ScaleCrop>false</ScaleCrop>
  <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Rachel 2023 (PGR)</dc:creator>
  <cp:keywords/>
  <dc:description/>
  <cp:lastModifiedBy>Kaburu, Stefano</cp:lastModifiedBy>
  <cp:revision>294</cp:revision>
  <dcterms:created xsi:type="dcterms:W3CDTF">2026-02-26T10:29:00Z</dcterms:created>
  <dcterms:modified xsi:type="dcterms:W3CDTF">2026-03-17T16:44:00Z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id="Eh1ZHpAu"/&gt;&lt;style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